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8844"/>
      </w:tblGrid>
      <w:tr w:rsidR="00952150" w:rsidTr="006D4A6C">
        <w:trPr>
          <w:trHeight w:hRule="exact" w:val="1978"/>
        </w:trPr>
        <w:tc>
          <w:tcPr>
            <w:tcW w:w="5000" w:type="pct"/>
          </w:tcPr>
          <w:p w:rsidR="00952150" w:rsidRDefault="00952150" w:rsidP="006D4A6C">
            <w:pPr>
              <w:spacing w:line="40" w:lineRule="exact"/>
              <w:rPr>
                <w:rFonts w:ascii="方正黑体_GBK" w:eastAsia="方正黑体_GBK"/>
              </w:rPr>
            </w:pPr>
          </w:p>
        </w:tc>
      </w:tr>
      <w:tr w:rsidR="00952150" w:rsidTr="006D4A6C">
        <w:trPr>
          <w:trHeight w:hRule="exact" w:val="1321"/>
        </w:trPr>
        <w:tc>
          <w:tcPr>
            <w:tcW w:w="5000" w:type="pct"/>
          </w:tcPr>
          <w:p w:rsidR="00952150" w:rsidRDefault="00952150" w:rsidP="006D4A6C">
            <w:pPr>
              <w:jc w:val="center"/>
              <w:rPr>
                <w:rFonts w:ascii="方正大标宋简体" w:eastAsia="方正大标宋简体" w:hAnsi="Arial Narrow"/>
                <w:bCs/>
                <w:color w:val="FF0000"/>
                <w:spacing w:val="-8"/>
                <w:w w:val="66"/>
                <w:sz w:val="106"/>
                <w:szCs w:val="106"/>
              </w:rPr>
            </w:pPr>
            <w:r>
              <w:rPr>
                <w:rFonts w:ascii="方正大标宋简体" w:eastAsia="方正大标宋简体" w:hAnsi="Arial Narrow" w:hint="eastAsia"/>
                <w:bCs/>
                <w:color w:val="FF0000"/>
                <w:spacing w:val="-8"/>
                <w:w w:val="66"/>
                <w:sz w:val="106"/>
                <w:szCs w:val="106"/>
              </w:rPr>
              <w:t>中国电力规划设计协会文件</w:t>
            </w:r>
          </w:p>
          <w:p w:rsidR="00952150" w:rsidRDefault="00952150" w:rsidP="006D4A6C">
            <w:pPr>
              <w:jc w:val="center"/>
              <w:rPr>
                <w:rFonts w:ascii="方正大标宋简体" w:eastAsia="方正大标宋简体" w:hAnsi="Arial Narrow"/>
                <w:bCs/>
                <w:color w:val="FF0000"/>
                <w:spacing w:val="-12"/>
                <w:w w:val="66"/>
                <w:sz w:val="106"/>
                <w:szCs w:val="106"/>
              </w:rPr>
            </w:pPr>
          </w:p>
        </w:tc>
      </w:tr>
      <w:tr w:rsidR="00952150" w:rsidTr="006D4A6C">
        <w:trPr>
          <w:trHeight w:hRule="exact" w:val="517"/>
        </w:trPr>
        <w:tc>
          <w:tcPr>
            <w:tcW w:w="5000" w:type="pct"/>
          </w:tcPr>
          <w:p w:rsidR="00952150" w:rsidRDefault="00952150" w:rsidP="006D4A6C">
            <w:pPr>
              <w:rPr>
                <w:rFonts w:ascii="仿宋_GB2312"/>
              </w:rPr>
            </w:pPr>
          </w:p>
        </w:tc>
      </w:tr>
      <w:tr w:rsidR="00952150" w:rsidTr="006D4A6C">
        <w:trPr>
          <w:trHeight w:hRule="exact" w:val="553"/>
        </w:trPr>
        <w:tc>
          <w:tcPr>
            <w:tcW w:w="5000" w:type="pct"/>
          </w:tcPr>
          <w:p w:rsidR="00952150" w:rsidRDefault="00952150" w:rsidP="006D4A6C">
            <w:pPr>
              <w:rPr>
                <w:rFonts w:ascii="仿宋_GB2312"/>
              </w:rPr>
            </w:pPr>
          </w:p>
        </w:tc>
      </w:tr>
      <w:tr w:rsidR="00952150" w:rsidTr="006D4A6C">
        <w:trPr>
          <w:trHeight w:hRule="exact" w:val="567"/>
        </w:trPr>
        <w:tc>
          <w:tcPr>
            <w:tcW w:w="5000" w:type="pct"/>
          </w:tcPr>
          <w:p w:rsidR="00952150" w:rsidRDefault="00952150" w:rsidP="006E7B3C">
            <w:pPr>
              <w:jc w:val="center"/>
              <w:rPr>
                <w:rFonts w:ascii="仿宋_GB2312"/>
              </w:rPr>
            </w:pPr>
            <w:r w:rsidRPr="005C6D85">
              <w:rPr>
                <w:rFonts w:ascii="华文楷体" w:eastAsia="华文楷体" w:hAnsi="华文楷体" w:hint="eastAsia"/>
                <w:sz w:val="32"/>
                <w:szCs w:val="32"/>
              </w:rPr>
              <w:t>电规协业〔2020〕</w:t>
            </w:r>
            <w:r w:rsidR="00DA6188">
              <w:rPr>
                <w:rFonts w:ascii="华文楷体" w:eastAsia="华文楷体" w:hAnsi="华文楷体" w:hint="eastAsia"/>
                <w:sz w:val="32"/>
                <w:szCs w:val="32"/>
              </w:rPr>
              <w:t>7</w:t>
            </w:r>
            <w:r w:rsidR="006E7B3C">
              <w:rPr>
                <w:rFonts w:ascii="华文楷体" w:eastAsia="华文楷体" w:hAnsi="华文楷体" w:hint="eastAsia"/>
                <w:sz w:val="32"/>
                <w:szCs w:val="32"/>
              </w:rPr>
              <w:t>2</w:t>
            </w:r>
            <w:r w:rsidRPr="005C6D85">
              <w:rPr>
                <w:rFonts w:ascii="华文楷体" w:eastAsia="华文楷体" w:hAnsi="华文楷体" w:hint="eastAsia"/>
                <w:sz w:val="32"/>
                <w:szCs w:val="32"/>
              </w:rPr>
              <w:t>号</w:t>
            </w:r>
          </w:p>
        </w:tc>
      </w:tr>
      <w:tr w:rsidR="00952150" w:rsidTr="006D4A6C">
        <w:trPr>
          <w:trHeight w:hRule="exact" w:val="510"/>
        </w:trPr>
        <w:tc>
          <w:tcPr>
            <w:tcW w:w="5000" w:type="pct"/>
          </w:tcPr>
          <w:p w:rsidR="00952150" w:rsidRDefault="00D746C7" w:rsidP="006D4A6C">
            <w:pPr>
              <w:ind w:rightChars="100" w:right="210"/>
              <w:jc w:val="center"/>
              <w:rPr>
                <w:rFonts w:ascii="仿宋_GB2312"/>
              </w:rPr>
            </w:pPr>
            <w:r>
              <w:rPr>
                <w:rFonts w:ascii="仿宋_GB2312"/>
                <w:color w:val="EB410C"/>
              </w:rPr>
              <w:pict>
                <v:line id="DocMarkLine" o:spid="_x0000_s1026" style="position:absolute;left:0;text-align:left;z-index:251658240;mso-position-horizontal-relative:margin;mso-position-vertical-relative:line" from="0,5.6pt" to="442.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" strokecolor="red" strokeweight="1.25pt">
                  <w10:wrap anchorx="margin"/>
                </v:line>
              </w:pict>
            </w:r>
          </w:p>
        </w:tc>
      </w:tr>
      <w:tr w:rsidR="00952150" w:rsidTr="006D4A6C">
        <w:trPr>
          <w:trHeight w:hRule="exact" w:val="359"/>
        </w:trPr>
        <w:tc>
          <w:tcPr>
            <w:tcW w:w="5000" w:type="pct"/>
          </w:tcPr>
          <w:p w:rsidR="00952150" w:rsidRDefault="00952150" w:rsidP="006D4A6C">
            <w:pPr>
              <w:ind w:rightChars="100" w:right="210"/>
              <w:jc w:val="center"/>
              <w:rPr>
                <w:rFonts w:ascii="仿宋_GB2312"/>
                <w:color w:val="EB410C"/>
              </w:rPr>
            </w:pPr>
          </w:p>
          <w:p w:rsidR="00952150" w:rsidRDefault="00952150" w:rsidP="006D4A6C">
            <w:pPr>
              <w:ind w:rightChars="100" w:right="210"/>
              <w:jc w:val="center"/>
              <w:rPr>
                <w:rFonts w:ascii="仿宋_GB2312"/>
                <w:color w:val="EB410C"/>
              </w:rPr>
            </w:pPr>
          </w:p>
        </w:tc>
      </w:tr>
    </w:tbl>
    <w:p w:rsidR="00952150" w:rsidRDefault="00952150" w:rsidP="00952150">
      <w:pPr>
        <w:adjustRightInd w:val="0"/>
        <w:snapToGrid w:val="0"/>
        <w:jc w:val="center"/>
        <w:rPr>
          <w:rFonts w:ascii="方正大标宋简体" w:eastAsia="方正大标宋简体" w:hAnsi="仿宋"/>
          <w:sz w:val="40"/>
          <w:szCs w:val="40"/>
        </w:rPr>
      </w:pPr>
    </w:p>
    <w:p w:rsidR="00952150" w:rsidRPr="00952150" w:rsidRDefault="00DA6188" w:rsidP="00952150">
      <w:pPr>
        <w:adjustRightInd w:val="0"/>
        <w:snapToGrid w:val="0"/>
        <w:spacing w:line="580" w:lineRule="exact"/>
        <w:jc w:val="center"/>
        <w:rPr>
          <w:rFonts w:ascii="方正大标宋简体" w:eastAsia="方正大标宋简体" w:hAnsi="仿宋"/>
          <w:sz w:val="40"/>
          <w:szCs w:val="40"/>
        </w:rPr>
      </w:pPr>
      <w:r>
        <w:rPr>
          <w:rFonts w:ascii="方正大标宋简体" w:eastAsia="方正大标宋简体" w:hAnsi="仿宋" w:hint="eastAsia"/>
          <w:sz w:val="40"/>
          <w:szCs w:val="40"/>
        </w:rPr>
        <w:t>关于发布</w:t>
      </w:r>
      <w:r w:rsidR="00952150" w:rsidRPr="00952150">
        <w:rPr>
          <w:rFonts w:ascii="方正大标宋简体" w:eastAsia="方正大标宋简体" w:hAnsi="仿宋" w:hint="eastAsia"/>
          <w:sz w:val="40"/>
          <w:szCs w:val="40"/>
        </w:rPr>
        <w:t>2019年度</w:t>
      </w:r>
      <w:r w:rsidR="00952150" w:rsidRPr="00952150">
        <w:rPr>
          <w:rFonts w:ascii="方正大标宋简体" w:eastAsia="方正大标宋简体" w:hAnsi="仿宋"/>
          <w:sz w:val="40"/>
          <w:szCs w:val="40"/>
        </w:rPr>
        <w:t>电力勘测设计行业</w:t>
      </w:r>
      <w:r w:rsidR="00952150" w:rsidRPr="00952150">
        <w:rPr>
          <w:rFonts w:ascii="方正大标宋简体" w:eastAsia="方正大标宋简体" w:hAnsi="仿宋" w:hint="eastAsia"/>
          <w:sz w:val="40"/>
          <w:szCs w:val="40"/>
        </w:rPr>
        <w:t>（供用电设计单位）同业对标标杆指标汇总信息</w:t>
      </w:r>
      <w:r>
        <w:rPr>
          <w:rFonts w:ascii="方正大标宋简体" w:eastAsia="方正大标宋简体" w:hAnsi="仿宋" w:hint="eastAsia"/>
          <w:sz w:val="40"/>
          <w:szCs w:val="40"/>
        </w:rPr>
        <w:t>的通知</w:t>
      </w:r>
    </w:p>
    <w:p w:rsidR="00952150" w:rsidRDefault="00952150" w:rsidP="00952150">
      <w:pPr>
        <w:adjustRightInd w:val="0"/>
        <w:snapToGrid w:val="0"/>
        <w:spacing w:line="580" w:lineRule="exact"/>
        <w:rPr>
          <w:rFonts w:ascii="仿宋_GB2312" w:eastAsia="仿宋_GB2312" w:hAnsi="仿宋"/>
          <w:sz w:val="32"/>
          <w:szCs w:val="32"/>
        </w:rPr>
      </w:pPr>
    </w:p>
    <w:p w:rsidR="00952150" w:rsidRDefault="00952150" w:rsidP="00952150">
      <w:pPr>
        <w:adjustRightInd w:val="0"/>
        <w:snapToGrid w:val="0"/>
        <w:spacing w:line="520" w:lineRule="exact"/>
        <w:rPr>
          <w:rFonts w:ascii="仿宋_GB2312" w:eastAsia="仿宋_GB2312" w:hAnsi="仿宋"/>
          <w:sz w:val="32"/>
          <w:szCs w:val="32"/>
        </w:rPr>
      </w:pPr>
      <w:r w:rsidRPr="00D14C6B">
        <w:rPr>
          <w:rFonts w:ascii="仿宋_GB2312" w:eastAsia="仿宋_GB2312" w:hAnsi="仿宋" w:hint="eastAsia"/>
          <w:sz w:val="32"/>
          <w:szCs w:val="32"/>
        </w:rPr>
        <w:t>各有关单位：</w:t>
      </w:r>
    </w:p>
    <w:p w:rsidR="007A57F3" w:rsidRDefault="007A57F3" w:rsidP="00952150">
      <w:pPr>
        <w:adjustRightInd w:val="0"/>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2019年度</w:t>
      </w:r>
      <w:r>
        <w:rPr>
          <w:rFonts w:ascii="仿宋_GB2312" w:eastAsia="仿宋_GB2312" w:hAnsi="仿宋"/>
          <w:sz w:val="32"/>
          <w:szCs w:val="32"/>
        </w:rPr>
        <w:t>电力勘测设计行业（</w:t>
      </w:r>
      <w:r>
        <w:rPr>
          <w:rFonts w:ascii="仿宋_GB2312" w:eastAsia="仿宋_GB2312" w:hAnsi="仿宋" w:hint="eastAsia"/>
          <w:sz w:val="32"/>
          <w:szCs w:val="32"/>
        </w:rPr>
        <w:t>供用电设计单位</w:t>
      </w:r>
      <w:r>
        <w:rPr>
          <w:rFonts w:ascii="仿宋_GB2312" w:eastAsia="仿宋_GB2312" w:hAnsi="仿宋"/>
          <w:sz w:val="32"/>
          <w:szCs w:val="32"/>
        </w:rPr>
        <w:t>）</w:t>
      </w:r>
      <w:r>
        <w:rPr>
          <w:rFonts w:ascii="仿宋_GB2312" w:eastAsia="仿宋_GB2312" w:hAnsi="仿宋" w:hint="eastAsia"/>
          <w:sz w:val="32"/>
          <w:szCs w:val="32"/>
        </w:rPr>
        <w:t>同业对标</w:t>
      </w:r>
      <w:r>
        <w:rPr>
          <w:rFonts w:ascii="仿宋_GB2312" w:eastAsia="仿宋_GB2312" w:hAnsi="仿宋"/>
          <w:sz w:val="32"/>
          <w:szCs w:val="32"/>
        </w:rPr>
        <w:t>标杆指标信息已完成汇总工作，现由中国电力规划设计协会发布。请</w:t>
      </w:r>
      <w:r>
        <w:rPr>
          <w:rFonts w:ascii="仿宋_GB2312" w:eastAsia="仿宋_GB2312" w:hAnsi="仿宋" w:hint="eastAsia"/>
          <w:sz w:val="32"/>
          <w:szCs w:val="32"/>
        </w:rPr>
        <w:t>各</w:t>
      </w:r>
      <w:r>
        <w:rPr>
          <w:rFonts w:ascii="仿宋_GB2312" w:eastAsia="仿宋_GB2312" w:hAnsi="仿宋"/>
          <w:sz w:val="32"/>
          <w:szCs w:val="32"/>
        </w:rPr>
        <w:t>有关单位在协会网站（</w:t>
      </w:r>
      <w:r>
        <w:rPr>
          <w:rFonts w:ascii="仿宋_GB2312" w:eastAsia="仿宋_GB2312" w:hAnsi="仿宋" w:hint="eastAsia"/>
          <w:sz w:val="32"/>
          <w:szCs w:val="32"/>
        </w:rPr>
        <w:t>网址</w:t>
      </w:r>
      <w:r>
        <w:rPr>
          <w:rFonts w:ascii="仿宋_GB2312" w:eastAsia="仿宋_GB2312" w:hAnsi="仿宋"/>
          <w:sz w:val="32"/>
          <w:szCs w:val="32"/>
        </w:rPr>
        <w:t>：</w:t>
      </w:r>
      <w:hyperlink r:id="rId6" w:history="1">
        <w:r>
          <w:rPr>
            <w:rFonts w:ascii="仿宋_GB2312" w:eastAsia="仿宋_GB2312" w:hAnsi="仿宋" w:hint="eastAsia"/>
            <w:sz w:val="32"/>
            <w:szCs w:val="32"/>
          </w:rPr>
          <w:t>www.ceppea.net</w:t>
        </w:r>
        <w:r>
          <w:rPr>
            <w:rFonts w:ascii="仿宋_GB2312" w:eastAsia="仿宋_GB2312" w:hAnsi="仿宋"/>
            <w:sz w:val="32"/>
            <w:szCs w:val="32"/>
          </w:rPr>
          <w:t>）</w:t>
        </w:r>
        <w:r>
          <w:rPr>
            <w:rFonts w:ascii="仿宋_GB2312" w:eastAsia="仿宋_GB2312" w:hAnsi="仿宋" w:hint="eastAsia"/>
            <w:sz w:val="32"/>
            <w:szCs w:val="32"/>
          </w:rPr>
          <w:t>上</w:t>
        </w:r>
        <w:r>
          <w:rPr>
            <w:rFonts w:ascii="仿宋_GB2312" w:eastAsia="仿宋_GB2312" w:hAnsi="仿宋"/>
            <w:sz w:val="32"/>
            <w:szCs w:val="32"/>
          </w:rPr>
          <w:t>查阅</w:t>
        </w:r>
        <w:r>
          <w:rPr>
            <w:rFonts w:ascii="仿宋_GB2312" w:eastAsia="仿宋_GB2312" w:hAnsi="仿宋"/>
            <w:sz w:val="32"/>
            <w:szCs w:val="32"/>
          </w:rPr>
          <w:t>“</w:t>
        </w:r>
        <w:r>
          <w:rPr>
            <w:rFonts w:ascii="仿宋_GB2312" w:eastAsia="仿宋_GB2312" w:hAnsi="仿宋"/>
            <w:sz w:val="32"/>
            <w:szCs w:val="32"/>
          </w:rPr>
          <w:t>201</w:t>
        </w:r>
        <w:r>
          <w:rPr>
            <w:rFonts w:ascii="仿宋_GB2312" w:eastAsia="仿宋_GB2312" w:hAnsi="仿宋" w:hint="eastAsia"/>
            <w:sz w:val="32"/>
            <w:szCs w:val="32"/>
          </w:rPr>
          <w:t>9</w:t>
        </w:r>
      </w:hyperlink>
      <w:r>
        <w:rPr>
          <w:rFonts w:ascii="仿宋_GB2312" w:eastAsia="仿宋_GB2312" w:hAnsi="仿宋" w:hint="eastAsia"/>
          <w:sz w:val="32"/>
          <w:szCs w:val="32"/>
        </w:rPr>
        <w:t>年度</w:t>
      </w:r>
      <w:r>
        <w:rPr>
          <w:rFonts w:ascii="仿宋_GB2312" w:eastAsia="仿宋_GB2312" w:hAnsi="仿宋"/>
          <w:sz w:val="32"/>
          <w:szCs w:val="32"/>
        </w:rPr>
        <w:t>电力勘测设计行业</w:t>
      </w:r>
      <w:r>
        <w:rPr>
          <w:rFonts w:ascii="仿宋_GB2312" w:eastAsia="仿宋_GB2312" w:hAnsi="仿宋" w:hint="eastAsia"/>
          <w:sz w:val="32"/>
          <w:szCs w:val="32"/>
        </w:rPr>
        <w:t>（供用电设计单位）同业对标</w:t>
      </w:r>
      <w:r>
        <w:rPr>
          <w:rFonts w:ascii="仿宋_GB2312" w:eastAsia="仿宋_GB2312" w:hAnsi="仿宋"/>
          <w:sz w:val="32"/>
          <w:szCs w:val="32"/>
        </w:rPr>
        <w:t>标杆指标汇总信息</w:t>
      </w:r>
      <w:r>
        <w:rPr>
          <w:rFonts w:ascii="仿宋_GB2312" w:eastAsia="仿宋_GB2312" w:hAnsi="仿宋"/>
          <w:sz w:val="32"/>
          <w:szCs w:val="32"/>
        </w:rPr>
        <w:t>”</w:t>
      </w:r>
      <w:r>
        <w:rPr>
          <w:rFonts w:ascii="仿宋_GB2312" w:eastAsia="仿宋_GB2312" w:hAnsi="仿宋" w:hint="eastAsia"/>
          <w:sz w:val="32"/>
          <w:szCs w:val="32"/>
        </w:rPr>
        <w:t>。</w:t>
      </w:r>
    </w:p>
    <w:p w:rsidR="007A57F3" w:rsidRDefault="007A57F3" w:rsidP="00DA6188">
      <w:pPr>
        <w:adjustRightInd w:val="0"/>
        <w:snapToGrid w:val="0"/>
        <w:spacing w:beforeLines="100" w:before="312"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附件</w:t>
      </w:r>
      <w:r>
        <w:rPr>
          <w:rFonts w:ascii="仿宋_GB2312" w:eastAsia="仿宋_GB2312" w:hAnsi="仿宋"/>
          <w:sz w:val="32"/>
          <w:szCs w:val="32"/>
        </w:rPr>
        <w:t>：</w:t>
      </w:r>
      <w:r>
        <w:rPr>
          <w:rFonts w:ascii="仿宋_GB2312" w:eastAsia="仿宋_GB2312" w:hAnsi="仿宋" w:hint="eastAsia"/>
          <w:sz w:val="32"/>
          <w:szCs w:val="32"/>
        </w:rPr>
        <w:t>2019年度</w:t>
      </w:r>
      <w:r>
        <w:rPr>
          <w:rFonts w:ascii="仿宋_GB2312" w:eastAsia="仿宋_GB2312" w:hAnsi="仿宋"/>
          <w:sz w:val="32"/>
          <w:szCs w:val="32"/>
        </w:rPr>
        <w:t>电力勘测设计行业</w:t>
      </w:r>
      <w:r>
        <w:rPr>
          <w:rFonts w:ascii="仿宋_GB2312" w:eastAsia="仿宋_GB2312" w:hAnsi="仿宋" w:hint="eastAsia"/>
          <w:sz w:val="32"/>
          <w:szCs w:val="32"/>
        </w:rPr>
        <w:t>（供用电设计单位）</w:t>
      </w:r>
    </w:p>
    <w:p w:rsidR="007A57F3" w:rsidRDefault="007A57F3" w:rsidP="00952150">
      <w:pPr>
        <w:adjustRightInd w:val="0"/>
        <w:snapToGrid w:val="0"/>
        <w:spacing w:line="520" w:lineRule="exact"/>
        <w:ind w:firstLineChars="500" w:firstLine="1600"/>
        <w:rPr>
          <w:rFonts w:ascii="仿宋_GB2312" w:eastAsia="仿宋_GB2312" w:hAnsi="仿宋"/>
          <w:sz w:val="32"/>
          <w:szCs w:val="32"/>
        </w:rPr>
      </w:pPr>
      <w:r>
        <w:rPr>
          <w:rFonts w:ascii="仿宋_GB2312" w:eastAsia="仿宋_GB2312" w:hAnsi="仿宋" w:hint="eastAsia"/>
          <w:sz w:val="32"/>
          <w:szCs w:val="32"/>
        </w:rPr>
        <w:t>同业对标标杆指标汇总信息</w:t>
      </w:r>
    </w:p>
    <w:p w:rsidR="007A57F3" w:rsidRDefault="00D469F4" w:rsidP="00D469F4">
      <w:pPr>
        <w:adjustRightInd w:val="0"/>
        <w:snapToGrid w:val="0"/>
        <w:spacing w:line="580" w:lineRule="exact"/>
        <w:ind w:firstLineChars="200" w:firstLine="640"/>
        <w:rPr>
          <w:rFonts w:ascii="仿宋_GB2312" w:eastAsia="仿宋_GB2312" w:hAnsi="仿宋"/>
          <w:sz w:val="32"/>
          <w:szCs w:val="32"/>
        </w:rPr>
      </w:pPr>
      <w:bookmarkStart w:id="0" w:name="_GoBack"/>
      <w:r>
        <w:rPr>
          <w:rFonts w:ascii="仿宋_GB2312" w:eastAsia="仿宋_GB2312" w:hAnsi="仿宋" w:hint="eastAsia"/>
          <w:sz w:val="32"/>
          <w:szCs w:val="32"/>
        </w:rPr>
        <w:lastRenderedPageBreak/>
        <w:t>（此页无正文）</w:t>
      </w:r>
    </w:p>
    <w:bookmarkEnd w:id="0"/>
    <w:p w:rsidR="00952150" w:rsidRDefault="00952150" w:rsidP="00952150">
      <w:pPr>
        <w:adjustRightInd w:val="0"/>
        <w:snapToGrid w:val="0"/>
        <w:spacing w:line="580" w:lineRule="exact"/>
        <w:ind w:firstLineChars="450" w:firstLine="1440"/>
        <w:rPr>
          <w:rFonts w:ascii="仿宋_GB2312" w:eastAsia="仿宋_GB2312" w:hAnsi="仿宋"/>
          <w:sz w:val="32"/>
          <w:szCs w:val="32"/>
        </w:rPr>
      </w:pPr>
    </w:p>
    <w:p w:rsidR="00952150" w:rsidRPr="00D14C6B" w:rsidRDefault="00952150" w:rsidP="00952150">
      <w:pPr>
        <w:spacing w:line="560" w:lineRule="exact"/>
        <w:ind w:firstLineChars="1250" w:firstLine="4000"/>
        <w:rPr>
          <w:rFonts w:ascii="仿宋_GB2312" w:eastAsia="仿宋_GB2312" w:hAnsi="仿宋"/>
          <w:sz w:val="32"/>
          <w:szCs w:val="32"/>
        </w:rPr>
      </w:pPr>
      <w:r w:rsidRPr="00D14C6B">
        <w:rPr>
          <w:rFonts w:ascii="仿宋_GB2312" w:eastAsia="仿宋_GB2312" w:hAnsi="仿宋" w:hint="eastAsia"/>
          <w:sz w:val="32"/>
          <w:szCs w:val="32"/>
        </w:rPr>
        <w:t>中国电力规划设计协会</w:t>
      </w:r>
    </w:p>
    <w:p w:rsidR="007A57F3" w:rsidRDefault="00952150" w:rsidP="00952150">
      <w:pPr>
        <w:adjustRightInd w:val="0"/>
        <w:snapToGrid w:val="0"/>
        <w:spacing w:line="580" w:lineRule="exact"/>
        <w:ind w:firstLineChars="1400" w:firstLine="4480"/>
        <w:rPr>
          <w:rFonts w:ascii="仿宋_GB2312" w:eastAsia="仿宋_GB2312" w:hAnsi="仿宋"/>
          <w:sz w:val="32"/>
          <w:szCs w:val="32"/>
        </w:rPr>
      </w:pPr>
      <w:r w:rsidRPr="00D14C6B">
        <w:rPr>
          <w:rFonts w:ascii="仿宋_GB2312" w:eastAsia="仿宋_GB2312" w:hAnsi="仿宋" w:hint="eastAsia"/>
          <w:sz w:val="32"/>
          <w:szCs w:val="32"/>
        </w:rPr>
        <w:t>2020年</w:t>
      </w:r>
      <w:r>
        <w:rPr>
          <w:rFonts w:ascii="仿宋_GB2312" w:eastAsia="仿宋_GB2312" w:hAnsi="仿宋" w:hint="eastAsia"/>
          <w:sz w:val="32"/>
          <w:szCs w:val="32"/>
        </w:rPr>
        <w:t>6</w:t>
      </w:r>
      <w:r w:rsidRPr="00D14C6B">
        <w:rPr>
          <w:rFonts w:ascii="仿宋_GB2312" w:eastAsia="仿宋_GB2312" w:hAnsi="仿宋" w:hint="eastAsia"/>
          <w:sz w:val="32"/>
          <w:szCs w:val="32"/>
        </w:rPr>
        <w:t>月</w:t>
      </w:r>
      <w:r>
        <w:rPr>
          <w:rFonts w:ascii="仿宋_GB2312" w:eastAsia="仿宋_GB2312" w:hAnsi="仿宋" w:hint="eastAsia"/>
          <w:sz w:val="32"/>
          <w:szCs w:val="32"/>
        </w:rPr>
        <w:t>5</w:t>
      </w:r>
      <w:r w:rsidRPr="00D14C6B">
        <w:rPr>
          <w:rFonts w:ascii="仿宋_GB2312" w:eastAsia="仿宋_GB2312" w:hAnsi="仿宋" w:hint="eastAsia"/>
          <w:sz w:val="32"/>
          <w:szCs w:val="32"/>
        </w:rPr>
        <w:t>日</w:t>
      </w:r>
    </w:p>
    <w:p w:rsidR="007A57F3" w:rsidRDefault="007A57F3">
      <w:pPr>
        <w:rPr>
          <w:sz w:val="28"/>
          <w:szCs w:val="28"/>
        </w:rPr>
      </w:pPr>
    </w:p>
    <w:p w:rsidR="007A57F3" w:rsidRPr="00561072" w:rsidRDefault="007A57F3">
      <w:pPr>
        <w:rPr>
          <w:rFonts w:ascii="黑体" w:eastAsia="黑体"/>
          <w:sz w:val="32"/>
          <w:szCs w:val="32"/>
        </w:rPr>
      </w:pPr>
      <w:r>
        <w:rPr>
          <w:sz w:val="28"/>
          <w:szCs w:val="28"/>
        </w:rPr>
        <w:br w:type="page"/>
      </w:r>
      <w:r w:rsidRPr="00561072">
        <w:rPr>
          <w:rFonts w:ascii="黑体" w:eastAsia="黑体" w:hint="eastAsia"/>
          <w:sz w:val="32"/>
          <w:szCs w:val="32"/>
        </w:rPr>
        <w:lastRenderedPageBreak/>
        <w:t>附件</w:t>
      </w:r>
      <w:r w:rsidRPr="00561072">
        <w:rPr>
          <w:rFonts w:ascii="黑体" w:eastAsia="黑体"/>
          <w:sz w:val="32"/>
          <w:szCs w:val="32"/>
        </w:rPr>
        <w:t>：</w:t>
      </w:r>
    </w:p>
    <w:p w:rsidR="007A57F3" w:rsidRDefault="007A57F3"/>
    <w:p w:rsidR="007A57F3" w:rsidRDefault="007A57F3"/>
    <w:p w:rsidR="007A57F3" w:rsidRPr="00561072" w:rsidRDefault="007A57F3" w:rsidP="00DA6188">
      <w:pPr>
        <w:snapToGrid w:val="0"/>
        <w:spacing w:beforeLines="50" w:before="156"/>
        <w:jc w:val="center"/>
        <w:rPr>
          <w:rFonts w:ascii="方正大标宋简体" w:eastAsia="方正大标宋简体"/>
          <w:sz w:val="44"/>
          <w:szCs w:val="36"/>
        </w:rPr>
      </w:pPr>
      <w:r w:rsidRPr="00561072">
        <w:rPr>
          <w:rFonts w:ascii="方正大标宋简体" w:eastAsia="方正大标宋简体" w:hint="eastAsia"/>
          <w:sz w:val="44"/>
          <w:szCs w:val="36"/>
        </w:rPr>
        <w:t>2019年度</w:t>
      </w:r>
      <w:r w:rsidRPr="00561072">
        <w:rPr>
          <w:rFonts w:ascii="方正大标宋简体" w:eastAsia="方正大标宋简体"/>
          <w:sz w:val="44"/>
          <w:szCs w:val="36"/>
        </w:rPr>
        <w:t>电力勘测设计行业</w:t>
      </w:r>
    </w:p>
    <w:p w:rsidR="007A57F3" w:rsidRPr="00561072" w:rsidRDefault="007A57F3" w:rsidP="00DA6188">
      <w:pPr>
        <w:snapToGrid w:val="0"/>
        <w:spacing w:beforeLines="50" w:before="156"/>
        <w:jc w:val="center"/>
        <w:rPr>
          <w:rFonts w:ascii="方正大标宋简体" w:eastAsia="方正大标宋简体"/>
          <w:sz w:val="44"/>
          <w:szCs w:val="36"/>
        </w:rPr>
      </w:pPr>
      <w:r w:rsidRPr="00561072">
        <w:rPr>
          <w:rFonts w:ascii="方正大标宋简体" w:eastAsia="方正大标宋简体" w:hint="eastAsia"/>
          <w:sz w:val="44"/>
          <w:szCs w:val="36"/>
        </w:rPr>
        <w:t>（供用电设计单位）同业对标</w:t>
      </w:r>
    </w:p>
    <w:p w:rsidR="007A57F3" w:rsidRPr="00561072" w:rsidRDefault="007A57F3" w:rsidP="00DA6188">
      <w:pPr>
        <w:snapToGrid w:val="0"/>
        <w:spacing w:beforeLines="50" w:before="156"/>
        <w:jc w:val="center"/>
        <w:rPr>
          <w:rFonts w:ascii="方正大标宋简体" w:eastAsia="方正大标宋简体"/>
          <w:sz w:val="44"/>
          <w:szCs w:val="36"/>
        </w:rPr>
      </w:pPr>
      <w:r w:rsidRPr="00561072">
        <w:rPr>
          <w:rFonts w:ascii="方正大标宋简体" w:eastAsia="方正大标宋简体" w:hint="eastAsia"/>
          <w:sz w:val="44"/>
          <w:szCs w:val="36"/>
        </w:rPr>
        <w:t>标杆指标汇总信息</w:t>
      </w:r>
    </w:p>
    <w:p w:rsidR="007A57F3" w:rsidRDefault="007A57F3">
      <w:pPr>
        <w:jc w:val="center"/>
        <w:rPr>
          <w:b/>
          <w:sz w:val="36"/>
          <w:szCs w:val="36"/>
        </w:rPr>
      </w:pPr>
    </w:p>
    <w:p w:rsidR="00561072" w:rsidRPr="00CF152D" w:rsidRDefault="00561072" w:rsidP="00DA6188">
      <w:pPr>
        <w:snapToGrid w:val="0"/>
        <w:spacing w:beforeLines="50" w:before="156"/>
        <w:jc w:val="center"/>
        <w:rPr>
          <w:rFonts w:ascii="方正大标宋简体" w:eastAsia="方正大标宋简体"/>
          <w:sz w:val="44"/>
          <w:szCs w:val="36"/>
        </w:rPr>
      </w:pPr>
    </w:p>
    <w:p w:rsidR="00561072" w:rsidRDefault="00561072" w:rsidP="00561072">
      <w:pPr>
        <w:jc w:val="center"/>
        <w:rPr>
          <w:b/>
          <w:sz w:val="36"/>
          <w:szCs w:val="36"/>
        </w:rPr>
      </w:pPr>
    </w:p>
    <w:p w:rsidR="00561072" w:rsidRDefault="00561072" w:rsidP="00561072">
      <w:pPr>
        <w:jc w:val="center"/>
        <w:rPr>
          <w:b/>
          <w:sz w:val="36"/>
          <w:szCs w:val="36"/>
        </w:rPr>
      </w:pPr>
    </w:p>
    <w:p w:rsidR="00561072" w:rsidRDefault="00561072" w:rsidP="00561072">
      <w:pPr>
        <w:jc w:val="center"/>
        <w:rPr>
          <w:b/>
          <w:sz w:val="36"/>
          <w:szCs w:val="36"/>
        </w:rPr>
      </w:pPr>
    </w:p>
    <w:p w:rsidR="00561072" w:rsidRDefault="00561072" w:rsidP="00561072">
      <w:pPr>
        <w:jc w:val="center"/>
        <w:rPr>
          <w:b/>
          <w:sz w:val="36"/>
          <w:szCs w:val="36"/>
        </w:rPr>
      </w:pPr>
    </w:p>
    <w:p w:rsidR="00561072" w:rsidRDefault="00561072" w:rsidP="00561072">
      <w:pPr>
        <w:jc w:val="center"/>
        <w:rPr>
          <w:b/>
          <w:sz w:val="36"/>
          <w:szCs w:val="36"/>
        </w:rPr>
      </w:pPr>
    </w:p>
    <w:p w:rsidR="00561072" w:rsidRDefault="00561072" w:rsidP="00561072">
      <w:pPr>
        <w:jc w:val="center"/>
        <w:rPr>
          <w:b/>
          <w:sz w:val="36"/>
          <w:szCs w:val="36"/>
        </w:rPr>
      </w:pPr>
    </w:p>
    <w:p w:rsidR="00561072" w:rsidRDefault="00561072" w:rsidP="00561072">
      <w:pPr>
        <w:jc w:val="center"/>
        <w:rPr>
          <w:b/>
          <w:sz w:val="36"/>
          <w:szCs w:val="36"/>
        </w:rPr>
      </w:pPr>
    </w:p>
    <w:p w:rsidR="00561072" w:rsidRDefault="00561072" w:rsidP="00561072">
      <w:pPr>
        <w:jc w:val="center"/>
        <w:rPr>
          <w:b/>
          <w:sz w:val="36"/>
          <w:szCs w:val="36"/>
        </w:rPr>
      </w:pPr>
    </w:p>
    <w:p w:rsidR="00561072" w:rsidRDefault="00561072" w:rsidP="00561072">
      <w:pPr>
        <w:jc w:val="center"/>
        <w:rPr>
          <w:b/>
          <w:sz w:val="36"/>
          <w:szCs w:val="36"/>
        </w:rPr>
      </w:pPr>
    </w:p>
    <w:p w:rsidR="007A57F3" w:rsidRPr="00561072" w:rsidRDefault="007A57F3">
      <w:pPr>
        <w:jc w:val="center"/>
        <w:rPr>
          <w:rFonts w:ascii="黑体" w:eastAsia="黑体"/>
          <w:sz w:val="32"/>
          <w:szCs w:val="32"/>
        </w:rPr>
      </w:pPr>
      <w:r w:rsidRPr="00561072">
        <w:rPr>
          <w:rFonts w:ascii="黑体" w:eastAsia="黑体" w:hint="eastAsia"/>
          <w:sz w:val="32"/>
          <w:szCs w:val="32"/>
        </w:rPr>
        <w:t>中国电力规划设计协会</w:t>
      </w:r>
    </w:p>
    <w:p w:rsidR="007A57F3" w:rsidRPr="00561072" w:rsidRDefault="007A57F3">
      <w:pPr>
        <w:jc w:val="center"/>
        <w:rPr>
          <w:rFonts w:ascii="黑体" w:eastAsia="黑体"/>
          <w:sz w:val="32"/>
          <w:szCs w:val="32"/>
        </w:rPr>
      </w:pPr>
      <w:r w:rsidRPr="00561072">
        <w:rPr>
          <w:rFonts w:ascii="黑体" w:eastAsia="黑体" w:hint="eastAsia"/>
          <w:sz w:val="32"/>
          <w:szCs w:val="32"/>
        </w:rPr>
        <w:t>2020年</w:t>
      </w:r>
      <w:r w:rsidR="00855611" w:rsidRPr="00561072">
        <w:rPr>
          <w:rFonts w:ascii="黑体" w:eastAsia="黑体"/>
          <w:sz w:val="32"/>
          <w:szCs w:val="32"/>
        </w:rPr>
        <w:t>5</w:t>
      </w:r>
      <w:r w:rsidRPr="00561072">
        <w:rPr>
          <w:rFonts w:ascii="黑体" w:eastAsia="黑体" w:hint="eastAsia"/>
          <w:sz w:val="32"/>
          <w:szCs w:val="32"/>
        </w:rPr>
        <w:t>月</w:t>
      </w:r>
    </w:p>
    <w:p w:rsidR="007A57F3" w:rsidRPr="00561072" w:rsidRDefault="007A57F3" w:rsidP="00561072">
      <w:pPr>
        <w:snapToGrid w:val="0"/>
        <w:jc w:val="center"/>
        <w:rPr>
          <w:rFonts w:ascii="方正大标宋简体" w:eastAsia="方正大标宋简体"/>
          <w:sz w:val="40"/>
          <w:szCs w:val="36"/>
        </w:rPr>
      </w:pPr>
      <w:r>
        <w:rPr>
          <w:b/>
          <w:sz w:val="36"/>
          <w:szCs w:val="36"/>
        </w:rPr>
        <w:br w:type="page"/>
      </w:r>
      <w:r w:rsidRPr="00561072">
        <w:rPr>
          <w:rFonts w:ascii="方正大标宋简体" w:eastAsia="方正大标宋简体" w:hint="eastAsia"/>
          <w:sz w:val="40"/>
          <w:szCs w:val="36"/>
        </w:rPr>
        <w:lastRenderedPageBreak/>
        <w:t>2019年度电力勘测设计行业（供用电设计单位）</w:t>
      </w:r>
    </w:p>
    <w:p w:rsidR="007A57F3" w:rsidRPr="00561072" w:rsidRDefault="007A57F3" w:rsidP="00561072">
      <w:pPr>
        <w:snapToGrid w:val="0"/>
        <w:jc w:val="center"/>
        <w:rPr>
          <w:rFonts w:ascii="方正大标宋简体" w:eastAsia="方正大标宋简体"/>
          <w:sz w:val="40"/>
          <w:szCs w:val="36"/>
        </w:rPr>
      </w:pPr>
      <w:r w:rsidRPr="00561072">
        <w:rPr>
          <w:rFonts w:ascii="方正大标宋简体" w:eastAsia="方正大标宋简体" w:hint="eastAsia"/>
          <w:sz w:val="40"/>
          <w:szCs w:val="36"/>
        </w:rPr>
        <w:t>同业对标标杆指标发布说明</w:t>
      </w:r>
    </w:p>
    <w:p w:rsidR="007A57F3" w:rsidRDefault="007A57F3">
      <w:pPr>
        <w:spacing w:line="360" w:lineRule="auto"/>
        <w:ind w:firstLineChars="200" w:firstLine="640"/>
        <w:rPr>
          <w:rFonts w:ascii="仿宋" w:eastAsia="仿宋" w:hAnsi="仿宋"/>
          <w:bCs/>
          <w:sz w:val="32"/>
          <w:szCs w:val="32"/>
        </w:rPr>
      </w:pPr>
    </w:p>
    <w:p w:rsidR="007A57F3" w:rsidRDefault="007A57F3">
      <w:pPr>
        <w:spacing w:line="360" w:lineRule="auto"/>
        <w:ind w:firstLineChars="200" w:firstLine="640"/>
        <w:rPr>
          <w:rFonts w:ascii="仿宋" w:eastAsia="仿宋" w:hAnsi="仿宋"/>
          <w:bCs/>
          <w:sz w:val="32"/>
          <w:szCs w:val="32"/>
        </w:rPr>
      </w:pPr>
      <w:r>
        <w:rPr>
          <w:rFonts w:ascii="仿宋" w:eastAsia="仿宋" w:hAnsi="仿宋" w:hint="eastAsia"/>
          <w:bCs/>
          <w:sz w:val="32"/>
          <w:szCs w:val="32"/>
        </w:rPr>
        <w:t>同业对标是一种称为标杆管理的方法，即将相同企业生产经营实现的结果指标进行统一处理，形成一套公开发布的具有标杆值的指标体系，从而使企业得到不断改进，在竞争中实现自我发展的目标。</w:t>
      </w:r>
    </w:p>
    <w:p w:rsidR="007A57F3" w:rsidRDefault="007A57F3">
      <w:pPr>
        <w:spacing w:line="360" w:lineRule="auto"/>
        <w:ind w:firstLineChars="200" w:firstLine="640"/>
        <w:rPr>
          <w:rFonts w:ascii="仿宋" w:eastAsia="仿宋" w:hAnsi="仿宋"/>
          <w:bCs/>
          <w:sz w:val="32"/>
          <w:szCs w:val="32"/>
        </w:rPr>
      </w:pPr>
      <w:r>
        <w:rPr>
          <w:rFonts w:ascii="仿宋" w:eastAsia="仿宋" w:hAnsi="仿宋" w:hint="eastAsia"/>
          <w:bCs/>
          <w:sz w:val="32"/>
          <w:szCs w:val="32"/>
        </w:rPr>
        <w:t>中国</w:t>
      </w:r>
      <w:r>
        <w:rPr>
          <w:rFonts w:ascii="仿宋" w:eastAsia="仿宋" w:hAnsi="仿宋"/>
          <w:bCs/>
          <w:sz w:val="32"/>
          <w:szCs w:val="32"/>
        </w:rPr>
        <w:t>电力规划设计</w:t>
      </w:r>
      <w:r>
        <w:rPr>
          <w:rFonts w:ascii="仿宋" w:eastAsia="仿宋" w:hAnsi="仿宋" w:hint="eastAsia"/>
          <w:bCs/>
          <w:sz w:val="32"/>
          <w:szCs w:val="32"/>
        </w:rPr>
        <w:t>协会从2008年开展供用电设计单位同业对标工作以来，得到了广大会员单位的积极支持，目前已发布了2008—2018年的同业对标指标数据，为各院寻找差距追求卓越，实现可持续发展提供了权威的理论数据，对行业的发展起了较强的引领作用。</w:t>
      </w:r>
    </w:p>
    <w:p w:rsidR="007A57F3" w:rsidRPr="00561072" w:rsidRDefault="007A57F3" w:rsidP="00561072">
      <w:pPr>
        <w:spacing w:line="360" w:lineRule="auto"/>
        <w:ind w:firstLineChars="200" w:firstLine="624"/>
        <w:rPr>
          <w:rFonts w:ascii="仿宋" w:eastAsia="仿宋" w:hAnsi="仿宋"/>
          <w:bCs/>
          <w:spacing w:val="-4"/>
          <w:sz w:val="32"/>
          <w:szCs w:val="32"/>
        </w:rPr>
      </w:pPr>
      <w:r w:rsidRPr="00561072">
        <w:rPr>
          <w:rFonts w:ascii="仿宋" w:eastAsia="仿宋" w:hAnsi="仿宋" w:hint="eastAsia"/>
          <w:bCs/>
          <w:spacing w:val="-4"/>
          <w:sz w:val="32"/>
          <w:szCs w:val="32"/>
        </w:rPr>
        <w:t>2017年根据国家标准《卓越绩效评价准则》2012版评价内容，以及电力勘测设计行业内外部环境变化和各院生产经营实际，对旧版“电力勘测设计行业（供用电设计单位）标杆指标”体系进行了修改完善。2019版同业对标指标体系根据国家标准GB/T 19580-2012《卓越绩效评价准则》和GB/T 19579-2012《卓越绩效评价准则指南》，分为产品与服务、市场、财务、资源、过程、领导6个方面，指标为</w:t>
      </w:r>
      <w:r w:rsidRPr="00561072">
        <w:rPr>
          <w:rFonts w:ascii="仿宋" w:eastAsia="仿宋" w:hAnsi="仿宋"/>
          <w:bCs/>
          <w:spacing w:val="-4"/>
          <w:sz w:val="32"/>
          <w:szCs w:val="32"/>
        </w:rPr>
        <w:t>63</w:t>
      </w:r>
      <w:r w:rsidRPr="00561072">
        <w:rPr>
          <w:rFonts w:ascii="仿宋" w:eastAsia="仿宋" w:hAnsi="仿宋" w:hint="eastAsia"/>
          <w:bCs/>
          <w:spacing w:val="-4"/>
          <w:sz w:val="32"/>
          <w:szCs w:val="32"/>
        </w:rPr>
        <w:t>个。统计范围为行业内供用电设计单位。</w:t>
      </w:r>
    </w:p>
    <w:p w:rsidR="007A57F3" w:rsidRDefault="007A57F3">
      <w:pPr>
        <w:spacing w:line="360" w:lineRule="auto"/>
        <w:ind w:firstLineChars="200" w:firstLine="640"/>
        <w:rPr>
          <w:rFonts w:ascii="仿宋" w:eastAsia="仿宋" w:hAnsi="仿宋"/>
          <w:bCs/>
          <w:sz w:val="32"/>
          <w:szCs w:val="32"/>
        </w:rPr>
      </w:pPr>
      <w:r>
        <w:rPr>
          <w:rFonts w:ascii="仿宋" w:eastAsia="仿宋" w:hAnsi="仿宋" w:hint="eastAsia"/>
          <w:bCs/>
          <w:sz w:val="32"/>
          <w:szCs w:val="32"/>
        </w:rPr>
        <w:t>在指标体系中大部分的标杆指标提供3种值，即最高值、前</w:t>
      </w:r>
      <w:r>
        <w:rPr>
          <w:rFonts w:ascii="仿宋" w:eastAsia="仿宋" w:hAnsi="仿宋" w:hint="eastAsia"/>
          <w:bCs/>
          <w:sz w:val="32"/>
          <w:szCs w:val="32"/>
        </w:rPr>
        <w:lastRenderedPageBreak/>
        <w:t>25%平均值和平均值。最高值可以称为标杆值或最佳值，前25%平均值可以称为先进值，平均值可以称为一般值。提供这3种指标值，可以为各供用电设计单位研究、对照和确定本单位的具体指标位置创造条件。有少数指标或数据偏少不好统计，或不宜采用前述的3种指标值统计等原因，采用了其它表达方式。如“产品和服务”指标中的“送电初设</w:t>
      </w:r>
      <w:r>
        <w:rPr>
          <w:rFonts w:ascii="仿宋" w:eastAsia="仿宋" w:hAnsi="仿宋"/>
          <w:bCs/>
          <w:sz w:val="32"/>
          <w:szCs w:val="32"/>
        </w:rPr>
        <w:t>5</w:t>
      </w:r>
      <w:r>
        <w:rPr>
          <w:rFonts w:ascii="仿宋" w:eastAsia="仿宋" w:hAnsi="仿宋" w:hint="eastAsia"/>
          <w:bCs/>
          <w:sz w:val="32"/>
          <w:szCs w:val="32"/>
        </w:rPr>
        <w:t>00</w:t>
      </w:r>
      <w:r>
        <w:rPr>
          <w:rFonts w:ascii="仿宋" w:eastAsia="仿宋" w:hAnsi="仿宋"/>
          <w:bCs/>
          <w:sz w:val="32"/>
          <w:szCs w:val="32"/>
        </w:rPr>
        <w:t>kV</w:t>
      </w:r>
      <w:r>
        <w:rPr>
          <w:rFonts w:ascii="仿宋" w:eastAsia="仿宋" w:hAnsi="仿宋" w:hint="eastAsia"/>
          <w:bCs/>
          <w:sz w:val="32"/>
          <w:szCs w:val="32"/>
        </w:rPr>
        <w:t>”等指标，由于涉及该项目的单位较少，采用了“最高值”、“行业总值”和“从事该项目的设计院个数”三个等级表达。对于人力资源指标，各种比例采用“行业平均值”表达，注册师采用“最高值”和“行业平均值”表达。</w:t>
      </w:r>
    </w:p>
    <w:p w:rsidR="007A57F3" w:rsidRDefault="007A57F3">
      <w:pPr>
        <w:spacing w:line="360" w:lineRule="auto"/>
        <w:ind w:firstLineChars="200" w:firstLine="640"/>
        <w:rPr>
          <w:rFonts w:ascii="仿宋" w:eastAsia="仿宋" w:hAnsi="仿宋"/>
          <w:bCs/>
          <w:sz w:val="32"/>
          <w:szCs w:val="32"/>
        </w:rPr>
      </w:pPr>
      <w:r>
        <w:rPr>
          <w:rFonts w:ascii="仿宋" w:eastAsia="仿宋" w:hAnsi="仿宋" w:hint="eastAsia"/>
          <w:bCs/>
          <w:sz w:val="32"/>
          <w:szCs w:val="32"/>
        </w:rPr>
        <w:t>按照中国电力规划设计协会年度工作安排，现已完成2019年度供用电设计单位同业对标指标信息的采集汇总，现予以发布。</w:t>
      </w:r>
    </w:p>
    <w:p w:rsidR="007A57F3" w:rsidRDefault="007A57F3">
      <w:pPr>
        <w:spacing w:line="360" w:lineRule="auto"/>
        <w:ind w:firstLineChars="200" w:firstLine="640"/>
        <w:rPr>
          <w:rFonts w:ascii="仿宋" w:eastAsia="仿宋" w:hAnsi="仿宋"/>
          <w:bCs/>
          <w:sz w:val="32"/>
          <w:szCs w:val="32"/>
        </w:rPr>
      </w:pPr>
      <w:r>
        <w:rPr>
          <w:rFonts w:ascii="仿宋" w:eastAsia="仿宋" w:hAnsi="仿宋" w:hint="eastAsia"/>
          <w:bCs/>
          <w:sz w:val="32"/>
          <w:szCs w:val="32"/>
        </w:rPr>
        <w:t>2019年度供用电设计单位同业对标收集了92个单位的指标，其中包括少部分有发电乙级资质的省级院所属设计单位，基本反映了全国电力勘测设计行业供用电设计单位的标杆总体水平。</w:t>
      </w:r>
    </w:p>
    <w:p w:rsidR="007A57F3" w:rsidRDefault="007A57F3">
      <w:pPr>
        <w:spacing w:line="360" w:lineRule="auto"/>
        <w:ind w:firstLineChars="200" w:firstLine="640"/>
        <w:rPr>
          <w:rFonts w:ascii="仿宋" w:eastAsia="仿宋" w:hAnsi="仿宋"/>
          <w:bCs/>
          <w:sz w:val="32"/>
          <w:szCs w:val="32"/>
        </w:rPr>
      </w:pPr>
      <w:r>
        <w:rPr>
          <w:rFonts w:ascii="仿宋" w:eastAsia="仿宋" w:hAnsi="仿宋" w:hint="eastAsia"/>
          <w:bCs/>
          <w:sz w:val="32"/>
          <w:szCs w:val="32"/>
        </w:rPr>
        <w:t>由于供用电设计单位报表填报</w:t>
      </w:r>
      <w:r>
        <w:rPr>
          <w:rFonts w:ascii="仿宋" w:eastAsia="仿宋" w:hAnsi="仿宋"/>
          <w:bCs/>
          <w:sz w:val="32"/>
          <w:szCs w:val="32"/>
        </w:rPr>
        <w:t>人员变化较大</w:t>
      </w:r>
      <w:r>
        <w:rPr>
          <w:rFonts w:ascii="仿宋" w:eastAsia="仿宋" w:hAnsi="仿宋" w:hint="eastAsia"/>
          <w:bCs/>
          <w:sz w:val="32"/>
          <w:szCs w:val="32"/>
        </w:rPr>
        <w:t>，各单位对指标的理解还有一些差距，致使有些指标填报不完整，需要在今后的工作中改进。请各单位在使用过程中提出意见，以逐步完善和提高电力勘测设计行业供用电设计单位同业对标的指标体系及工作水平。</w:t>
      </w:r>
    </w:p>
    <w:p w:rsidR="007A57F3" w:rsidRPr="00F42135" w:rsidRDefault="007A57F3" w:rsidP="00F42135">
      <w:pPr>
        <w:snapToGrid w:val="0"/>
        <w:jc w:val="center"/>
        <w:rPr>
          <w:rFonts w:ascii="方正大标宋简体" w:eastAsia="方正大标宋简体"/>
          <w:sz w:val="40"/>
          <w:szCs w:val="36"/>
        </w:rPr>
      </w:pPr>
      <w:r>
        <w:rPr>
          <w:rFonts w:hint="eastAsia"/>
          <w:b/>
          <w:sz w:val="32"/>
          <w:szCs w:val="32"/>
        </w:rPr>
        <w:br w:type="page"/>
      </w:r>
      <w:r w:rsidRPr="00F42135">
        <w:rPr>
          <w:rFonts w:ascii="方正大标宋简体" w:eastAsia="方正大标宋简体" w:hint="eastAsia"/>
          <w:sz w:val="40"/>
          <w:szCs w:val="36"/>
        </w:rPr>
        <w:lastRenderedPageBreak/>
        <w:t>2019年度</w:t>
      </w:r>
      <w:r w:rsidRPr="00F42135">
        <w:rPr>
          <w:rFonts w:ascii="方正大标宋简体" w:eastAsia="方正大标宋简体"/>
          <w:sz w:val="40"/>
          <w:szCs w:val="36"/>
        </w:rPr>
        <w:t>电力勘测设计行业</w:t>
      </w:r>
      <w:r w:rsidRPr="00F42135">
        <w:rPr>
          <w:rFonts w:ascii="方正大标宋简体" w:eastAsia="方正大标宋简体" w:hint="eastAsia"/>
          <w:sz w:val="40"/>
          <w:szCs w:val="36"/>
        </w:rPr>
        <w:t>（供用电设计单位）</w:t>
      </w:r>
    </w:p>
    <w:p w:rsidR="007A57F3" w:rsidRPr="00F42135" w:rsidRDefault="007A57F3" w:rsidP="00F42135">
      <w:pPr>
        <w:snapToGrid w:val="0"/>
        <w:jc w:val="center"/>
        <w:rPr>
          <w:rFonts w:ascii="方正大标宋简体" w:eastAsia="方正大标宋简体"/>
          <w:sz w:val="40"/>
          <w:szCs w:val="36"/>
        </w:rPr>
      </w:pPr>
      <w:r w:rsidRPr="00F42135">
        <w:rPr>
          <w:rFonts w:ascii="方正大标宋简体" w:eastAsia="方正大标宋简体" w:hint="eastAsia"/>
          <w:sz w:val="40"/>
          <w:szCs w:val="36"/>
        </w:rPr>
        <w:t>同业对标标杆指标汇总表</w:t>
      </w:r>
    </w:p>
    <w:p w:rsidR="007A57F3" w:rsidRDefault="007A57F3">
      <w:pPr>
        <w:jc w:val="center"/>
        <w:rPr>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394"/>
        <w:gridCol w:w="2046"/>
        <w:gridCol w:w="719"/>
        <w:gridCol w:w="2715"/>
      </w:tblGrid>
      <w:tr w:rsidR="007A57F3" w:rsidRPr="00715C04" w:rsidTr="00512ECB">
        <w:trPr>
          <w:trHeight w:val="397"/>
        </w:trPr>
        <w:tc>
          <w:tcPr>
            <w:tcW w:w="5000" w:type="pct"/>
            <w:gridSpan w:val="4"/>
            <w:shd w:val="clear" w:color="auto" w:fill="FFFF00"/>
            <w:vAlign w:val="center"/>
          </w:tcPr>
          <w:p w:rsidR="007A57F3" w:rsidRPr="00715C04" w:rsidRDefault="007A57F3">
            <w:pPr>
              <w:widowControl/>
              <w:jc w:val="left"/>
              <w:textAlignment w:val="center"/>
              <w:rPr>
                <w:rFonts w:ascii="仿宋" w:eastAsia="仿宋" w:hAnsi="仿宋" w:cs="仿宋"/>
                <w:szCs w:val="21"/>
              </w:rPr>
            </w:pPr>
            <w:r w:rsidRPr="00715C04">
              <w:rPr>
                <w:rFonts w:ascii="仿宋" w:eastAsia="仿宋" w:hAnsi="仿宋" w:cs="仿宋" w:hint="eastAsia"/>
                <w:b/>
                <w:bCs/>
                <w:kern w:val="0"/>
                <w:szCs w:val="21"/>
              </w:rPr>
              <w:t>1-产品和服务指标</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1.1  送电初设500kV（km）</w:t>
            </w:r>
          </w:p>
        </w:tc>
        <w:tc>
          <w:tcPr>
            <w:tcW w:w="1558" w:type="pct"/>
            <w:gridSpan w:val="2"/>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529" w:type="pct"/>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156</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行业总值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268.5</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从事该项目的设计院个数</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2</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1.2  送电初设220kV（km）</w:t>
            </w:r>
          </w:p>
        </w:tc>
        <w:tc>
          <w:tcPr>
            <w:tcW w:w="1558" w:type="pct"/>
            <w:gridSpan w:val="2"/>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529" w:type="pct"/>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772.09</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390.43</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142.98</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1.3  送电初设110kV（km）</w:t>
            </w:r>
          </w:p>
        </w:tc>
        <w:tc>
          <w:tcPr>
            <w:tcW w:w="1558" w:type="pct"/>
            <w:gridSpan w:val="2"/>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529" w:type="pct"/>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243.4</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183.45</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77.27</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1.4  送电初设35kV及以下（km）</w:t>
            </w:r>
          </w:p>
        </w:tc>
        <w:tc>
          <w:tcPr>
            <w:tcW w:w="1558" w:type="pct"/>
            <w:gridSpan w:val="2"/>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529" w:type="pct"/>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106.67</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行业总值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322.53</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从事该项目的设计院个数</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11</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1.5  送电施设500kV（km）</w:t>
            </w:r>
          </w:p>
        </w:tc>
        <w:tc>
          <w:tcPr>
            <w:tcW w:w="1558" w:type="pct"/>
            <w:gridSpan w:val="2"/>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529" w:type="pct"/>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50</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行业总值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131.88</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从事该项目的设计院个数</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5</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1.6  送电施设220kV（km）</w:t>
            </w:r>
          </w:p>
        </w:tc>
        <w:tc>
          <w:tcPr>
            <w:tcW w:w="1558" w:type="pct"/>
            <w:gridSpan w:val="2"/>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529" w:type="pct"/>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524.84</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299.67</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109.81</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1.7  送电施设110kV（km）</w:t>
            </w:r>
          </w:p>
        </w:tc>
        <w:tc>
          <w:tcPr>
            <w:tcW w:w="1558" w:type="pct"/>
            <w:gridSpan w:val="2"/>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529" w:type="pct"/>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440</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258.71</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94.29</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1.8  送电施设35kV及以下（km）</w:t>
            </w:r>
          </w:p>
        </w:tc>
        <w:tc>
          <w:tcPr>
            <w:tcW w:w="1558" w:type="pct"/>
            <w:gridSpan w:val="2"/>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529" w:type="pct"/>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112.84</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65.33</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29.27</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lastRenderedPageBreak/>
              <w:t>1.9  变电初设500kV（MVA）</w:t>
            </w:r>
          </w:p>
        </w:tc>
        <w:tc>
          <w:tcPr>
            <w:tcW w:w="1558" w:type="pct"/>
            <w:gridSpan w:val="2"/>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529" w:type="pct"/>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2000</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行业总值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7250</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从事该项目的设计院个数</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4</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1.10  变电初设220kV（MVA）</w:t>
            </w:r>
          </w:p>
        </w:tc>
        <w:tc>
          <w:tcPr>
            <w:tcW w:w="1558" w:type="pct"/>
            <w:gridSpan w:val="2"/>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529" w:type="pct"/>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3240</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2010.14</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864.33</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1.11  变电初设110kV（MVA）</w:t>
            </w:r>
          </w:p>
        </w:tc>
        <w:tc>
          <w:tcPr>
            <w:tcW w:w="1558" w:type="pct"/>
            <w:gridSpan w:val="2"/>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529" w:type="pct"/>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1134</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805.15</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345.83</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1.12  变电初设35kV及以下（MVA）</w:t>
            </w:r>
          </w:p>
        </w:tc>
        <w:tc>
          <w:tcPr>
            <w:tcW w:w="1558" w:type="pct"/>
            <w:gridSpan w:val="2"/>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529" w:type="pct"/>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66.3</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行业总值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224.7</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从事该项目的设计院个数</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9</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1.13  变电施设500kV（MVA）</w:t>
            </w:r>
          </w:p>
        </w:tc>
        <w:tc>
          <w:tcPr>
            <w:tcW w:w="1558" w:type="pct"/>
            <w:gridSpan w:val="2"/>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529" w:type="pct"/>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3400</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行业总值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6400</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从事该项目的设计院个数</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4</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1.14  变电施设220kV（MVA）</w:t>
            </w:r>
          </w:p>
        </w:tc>
        <w:tc>
          <w:tcPr>
            <w:tcW w:w="1558" w:type="pct"/>
            <w:gridSpan w:val="2"/>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529" w:type="pct"/>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2880</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1843.33</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742.06</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1.15  变电施设110kV（MVA）</w:t>
            </w:r>
          </w:p>
        </w:tc>
        <w:tc>
          <w:tcPr>
            <w:tcW w:w="1558" w:type="pct"/>
            <w:gridSpan w:val="2"/>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529" w:type="pct"/>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1600</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1042.47</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422.48</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1.16  变电施设35kV及以下（MVA）</w:t>
            </w:r>
          </w:p>
        </w:tc>
        <w:tc>
          <w:tcPr>
            <w:tcW w:w="1558" w:type="pct"/>
            <w:gridSpan w:val="2"/>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529" w:type="pct"/>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530</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行业总值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989.97</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从事该项目的设计院个数</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13</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1.17  送变电可研（项目数）</w:t>
            </w:r>
          </w:p>
        </w:tc>
        <w:tc>
          <w:tcPr>
            <w:tcW w:w="1558" w:type="pct"/>
            <w:gridSpan w:val="2"/>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529" w:type="pct"/>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51</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25</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558" w:type="pct"/>
            <w:gridSpan w:val="2"/>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529" w:type="pct"/>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10</w:t>
            </w:r>
          </w:p>
        </w:tc>
      </w:tr>
      <w:tr w:rsidR="007A57F3" w:rsidRPr="00715C04" w:rsidTr="00512ECB">
        <w:trPr>
          <w:trHeight w:val="397"/>
        </w:trPr>
        <w:tc>
          <w:tcPr>
            <w:tcW w:w="5000" w:type="pct"/>
            <w:gridSpan w:val="4"/>
            <w:shd w:val="clear" w:color="auto" w:fill="FFFF00"/>
            <w:vAlign w:val="center"/>
          </w:tcPr>
          <w:p w:rsidR="007A57F3" w:rsidRPr="00715C04" w:rsidRDefault="007A57F3">
            <w:pPr>
              <w:widowControl/>
              <w:jc w:val="left"/>
              <w:textAlignment w:val="center"/>
              <w:rPr>
                <w:rFonts w:ascii="仿宋" w:eastAsia="仿宋" w:hAnsi="仿宋" w:cs="仿宋"/>
                <w:szCs w:val="21"/>
              </w:rPr>
            </w:pPr>
            <w:r w:rsidRPr="00715C04">
              <w:rPr>
                <w:rFonts w:ascii="仿宋" w:eastAsia="仿宋" w:hAnsi="仿宋" w:cs="仿宋" w:hint="eastAsia"/>
                <w:b/>
                <w:bCs/>
                <w:kern w:val="0"/>
                <w:szCs w:val="21"/>
              </w:rPr>
              <w:lastRenderedPageBreak/>
              <w:t>2-市场指标</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2.1  勘测设计总产值（万元）</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23912.68</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14109.93</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6017.89</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2.2  全员劳动生产率（万元/人）</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138.53</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101.73</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50.51</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2.3  全年新签勘测设计合同额（万元）</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34833.00</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18228.08</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7572.83</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2.4  总市场占有率（%）</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4.74%</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2.51%</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1.10%</w:t>
            </w:r>
          </w:p>
        </w:tc>
      </w:tr>
      <w:tr w:rsidR="007A57F3" w:rsidRPr="00715C04" w:rsidTr="00512ECB">
        <w:trPr>
          <w:trHeight w:val="397"/>
        </w:trPr>
        <w:tc>
          <w:tcPr>
            <w:tcW w:w="5000" w:type="pct"/>
            <w:gridSpan w:val="4"/>
            <w:shd w:val="clear" w:color="auto" w:fill="FFFF00"/>
            <w:vAlign w:val="center"/>
          </w:tcPr>
          <w:p w:rsidR="007A57F3" w:rsidRPr="00715C04" w:rsidRDefault="007A57F3">
            <w:pPr>
              <w:widowControl/>
              <w:jc w:val="left"/>
              <w:textAlignment w:val="center"/>
              <w:rPr>
                <w:rFonts w:ascii="仿宋" w:eastAsia="仿宋" w:hAnsi="仿宋" w:cs="仿宋"/>
                <w:szCs w:val="21"/>
              </w:rPr>
            </w:pPr>
            <w:r w:rsidRPr="00715C04">
              <w:rPr>
                <w:rFonts w:ascii="仿宋" w:eastAsia="仿宋" w:hAnsi="仿宋" w:cs="仿宋" w:hint="eastAsia"/>
                <w:b/>
                <w:bCs/>
                <w:kern w:val="0"/>
                <w:szCs w:val="21"/>
              </w:rPr>
              <w:t>3-财务指标</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3.1  营业收入（万元）</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83984.56</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30722.86</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935" w:type="pct"/>
            <w:gridSpan w:val="2"/>
            <w:vAlign w:val="center"/>
          </w:tcPr>
          <w:p w:rsidR="007A57F3" w:rsidRPr="00715C04" w:rsidRDefault="00670AEC">
            <w:pPr>
              <w:widowControl/>
              <w:jc w:val="right"/>
              <w:textAlignment w:val="center"/>
              <w:rPr>
                <w:rFonts w:ascii="仿宋" w:eastAsia="仿宋" w:hAnsi="仿宋" w:cs="仿宋"/>
                <w:szCs w:val="21"/>
              </w:rPr>
            </w:pPr>
            <w:r w:rsidRPr="00715C04">
              <w:rPr>
                <w:rFonts w:ascii="仿宋" w:eastAsia="仿宋" w:hAnsi="仿宋"/>
                <w:szCs w:val="21"/>
              </w:rPr>
              <w:t>12624.80</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3.2  勘测设计咨询收入（万元）</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27081</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17403.3</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935" w:type="pct"/>
            <w:gridSpan w:val="2"/>
            <w:vAlign w:val="center"/>
          </w:tcPr>
          <w:p w:rsidR="007A57F3" w:rsidRPr="00715C04" w:rsidRDefault="00670AEC">
            <w:pPr>
              <w:widowControl/>
              <w:jc w:val="right"/>
              <w:textAlignment w:val="center"/>
              <w:rPr>
                <w:rFonts w:ascii="仿宋" w:eastAsia="仿宋" w:hAnsi="仿宋" w:cs="仿宋"/>
                <w:szCs w:val="21"/>
              </w:rPr>
            </w:pPr>
            <w:r w:rsidRPr="00715C04">
              <w:rPr>
                <w:rFonts w:ascii="仿宋" w:eastAsia="仿宋" w:hAnsi="仿宋"/>
                <w:szCs w:val="21"/>
              </w:rPr>
              <w:t>8125.37</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3.3  人均营业收入（万元/人）</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640.64</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207.37</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935" w:type="pct"/>
            <w:gridSpan w:val="2"/>
            <w:vAlign w:val="center"/>
          </w:tcPr>
          <w:p w:rsidR="007A57F3" w:rsidRPr="00715C04" w:rsidRDefault="00670AEC">
            <w:pPr>
              <w:widowControl/>
              <w:jc w:val="right"/>
              <w:textAlignment w:val="center"/>
              <w:rPr>
                <w:rFonts w:ascii="仿宋" w:eastAsia="仿宋" w:hAnsi="仿宋" w:cs="仿宋"/>
                <w:szCs w:val="21"/>
              </w:rPr>
            </w:pPr>
            <w:r w:rsidRPr="00715C04">
              <w:rPr>
                <w:rFonts w:ascii="仿宋" w:eastAsia="仿宋" w:hAnsi="仿宋"/>
                <w:szCs w:val="21"/>
              </w:rPr>
              <w:t>94.91</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3.4  利润总额（万元）</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9276.16</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4394.09</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1759.1</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3.5  人均净利润（万元/人）</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53.23</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25.41</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10.81</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lastRenderedPageBreak/>
              <w:t>3.6  经济增加值（万元）</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6909.4</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3164.11</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1250.72</w:t>
            </w:r>
          </w:p>
        </w:tc>
      </w:tr>
      <w:tr w:rsidR="007A57F3" w:rsidRPr="00715C04" w:rsidTr="00512ECB">
        <w:trPr>
          <w:trHeight w:val="397"/>
        </w:trPr>
        <w:tc>
          <w:tcPr>
            <w:tcW w:w="5000" w:type="pct"/>
            <w:gridSpan w:val="4"/>
            <w:shd w:val="clear" w:color="auto" w:fill="FFFF00"/>
            <w:vAlign w:val="center"/>
          </w:tcPr>
          <w:p w:rsidR="007A57F3" w:rsidRPr="00715C04" w:rsidRDefault="007A57F3">
            <w:pPr>
              <w:rPr>
                <w:rFonts w:ascii="仿宋" w:eastAsia="仿宋" w:hAnsi="仿宋" w:cs="仿宋"/>
                <w:szCs w:val="21"/>
              </w:rPr>
            </w:pPr>
            <w:r w:rsidRPr="00715C04">
              <w:rPr>
                <w:rFonts w:ascii="仿宋" w:eastAsia="仿宋" w:hAnsi="仿宋" w:cs="仿宋" w:hint="eastAsia"/>
                <w:b/>
                <w:bCs/>
                <w:szCs w:val="21"/>
              </w:rPr>
              <w:t>4-资源指标</w:t>
            </w:r>
          </w:p>
        </w:tc>
      </w:tr>
      <w:tr w:rsidR="007A57F3" w:rsidRPr="00715C04" w:rsidTr="00512ECB">
        <w:trPr>
          <w:trHeight w:val="397"/>
        </w:trPr>
        <w:tc>
          <w:tcPr>
            <w:tcW w:w="5000" w:type="pct"/>
            <w:gridSpan w:val="4"/>
            <w:vAlign w:val="center"/>
          </w:tcPr>
          <w:p w:rsidR="007A57F3" w:rsidRPr="00715C04" w:rsidRDefault="007A57F3">
            <w:pPr>
              <w:widowControl/>
              <w:jc w:val="left"/>
              <w:textAlignment w:val="center"/>
              <w:rPr>
                <w:rFonts w:ascii="仿宋" w:eastAsia="仿宋" w:hAnsi="仿宋" w:cs="仿宋"/>
                <w:szCs w:val="21"/>
              </w:rPr>
            </w:pPr>
            <w:r w:rsidRPr="00715C04">
              <w:rPr>
                <w:rFonts w:ascii="仿宋" w:eastAsia="仿宋" w:hAnsi="仿宋" w:cs="仿宋" w:hint="eastAsia"/>
                <w:kern w:val="0"/>
                <w:szCs w:val="21"/>
              </w:rPr>
              <w:t>4.1-人力资源指标</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4.1.1  年均从业人数</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行业总值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12186</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行业平均值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126</w:t>
            </w:r>
          </w:p>
        </w:tc>
      </w:tr>
      <w:tr w:rsidR="007A57F3" w:rsidRPr="00715C04" w:rsidTr="00512ECB">
        <w:trPr>
          <w:trHeight w:val="397"/>
        </w:trPr>
        <w:tc>
          <w:tcPr>
            <w:tcW w:w="1912" w:type="pc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4.1.2  直接生产人员比例</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行业平均值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77.00%</w:t>
            </w:r>
          </w:p>
        </w:tc>
      </w:tr>
      <w:tr w:rsidR="007A57F3" w:rsidRPr="00715C04" w:rsidTr="00512ECB">
        <w:trPr>
          <w:trHeight w:val="397"/>
        </w:trPr>
        <w:tc>
          <w:tcPr>
            <w:tcW w:w="1912" w:type="pc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4.1.3  管理岗位人员比例</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行业平均值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18.00%</w:t>
            </w:r>
          </w:p>
        </w:tc>
      </w:tr>
      <w:tr w:rsidR="007A57F3" w:rsidRPr="00715C04" w:rsidTr="00512ECB">
        <w:trPr>
          <w:trHeight w:val="397"/>
        </w:trPr>
        <w:tc>
          <w:tcPr>
            <w:tcW w:w="1912" w:type="pc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4.1.4  学历结构大专人数比例</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行业平均值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13.00%</w:t>
            </w:r>
          </w:p>
        </w:tc>
      </w:tr>
      <w:tr w:rsidR="007A57F3" w:rsidRPr="00715C04" w:rsidTr="00512ECB">
        <w:trPr>
          <w:trHeight w:val="397"/>
        </w:trPr>
        <w:tc>
          <w:tcPr>
            <w:tcW w:w="1912" w:type="pc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4.1.5  学历结构大学本科人数比例</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行业平均值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62.00%</w:t>
            </w:r>
          </w:p>
        </w:tc>
      </w:tr>
      <w:tr w:rsidR="007A57F3" w:rsidRPr="00715C04" w:rsidTr="00512ECB">
        <w:trPr>
          <w:trHeight w:val="397"/>
        </w:trPr>
        <w:tc>
          <w:tcPr>
            <w:tcW w:w="1912" w:type="pc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4.1.6  学历结构研究生人数比例</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行业平均值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15.00%</w:t>
            </w:r>
          </w:p>
        </w:tc>
      </w:tr>
      <w:tr w:rsidR="007A57F3" w:rsidRPr="00715C04" w:rsidTr="00512ECB">
        <w:trPr>
          <w:trHeight w:val="397"/>
        </w:trPr>
        <w:tc>
          <w:tcPr>
            <w:tcW w:w="1912" w:type="pc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4.1.7  专业技术职称结构初级职称人数比例</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行业平均值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17.00%</w:t>
            </w:r>
          </w:p>
        </w:tc>
      </w:tr>
      <w:tr w:rsidR="007A57F3" w:rsidRPr="00715C04" w:rsidTr="00512ECB">
        <w:trPr>
          <w:trHeight w:val="397"/>
        </w:trPr>
        <w:tc>
          <w:tcPr>
            <w:tcW w:w="1912" w:type="pc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4.1.8  专业技术职称结构中级职称人数比例</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行业平均值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30.00%</w:t>
            </w:r>
          </w:p>
        </w:tc>
      </w:tr>
      <w:tr w:rsidR="007A57F3" w:rsidRPr="00715C04" w:rsidTr="00512ECB">
        <w:trPr>
          <w:trHeight w:val="397"/>
        </w:trPr>
        <w:tc>
          <w:tcPr>
            <w:tcW w:w="1912" w:type="pc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4.1.9  专业技术职称结构高级职称人数比例</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行业平均值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25.00%</w:t>
            </w:r>
          </w:p>
        </w:tc>
      </w:tr>
      <w:tr w:rsidR="007A57F3" w:rsidRPr="00715C04" w:rsidTr="00512ECB">
        <w:trPr>
          <w:trHeight w:val="397"/>
        </w:trPr>
        <w:tc>
          <w:tcPr>
            <w:tcW w:w="1912" w:type="pc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4.1.10  专业技术职称结构教授级职称人数比例</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行业平均值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0.563%</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4.1.11  注册电气工程师人数</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21</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行业平均值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6</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4.1.12  一级注册建筑师人数</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4</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行业平均值</w:t>
            </w:r>
          </w:p>
        </w:tc>
        <w:tc>
          <w:tcPr>
            <w:tcW w:w="1935" w:type="pct"/>
            <w:gridSpan w:val="2"/>
            <w:vAlign w:val="center"/>
          </w:tcPr>
          <w:p w:rsidR="007A57F3" w:rsidRPr="00715C04" w:rsidRDefault="007A57F3" w:rsidP="00FD7803">
            <w:pPr>
              <w:widowControl/>
              <w:jc w:val="right"/>
              <w:textAlignment w:val="center"/>
              <w:rPr>
                <w:rFonts w:ascii="仿宋" w:eastAsia="仿宋" w:hAnsi="仿宋" w:cs="仿宋"/>
                <w:szCs w:val="21"/>
              </w:rPr>
            </w:pPr>
            <w:r w:rsidRPr="00715C04">
              <w:rPr>
                <w:rFonts w:ascii="仿宋" w:eastAsia="仿宋" w:hAnsi="仿宋" w:hint="eastAsia"/>
                <w:szCs w:val="21"/>
              </w:rPr>
              <w:t>0.</w:t>
            </w:r>
            <w:r w:rsidR="00FD7803" w:rsidRPr="00715C04">
              <w:rPr>
                <w:rFonts w:ascii="仿宋" w:eastAsia="仿宋" w:hAnsi="仿宋"/>
                <w:szCs w:val="21"/>
              </w:rPr>
              <w:t>35</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4.1.13  一级注册结构师人数</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8</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行业平均值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2</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4.1.14  注册咨询工程师人数</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40</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行业平均值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9</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4.1.15  其他注册工程师人数</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79</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行业平均值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8</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lastRenderedPageBreak/>
              <w:t>4.1.16  注册工程师合计</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102</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行业平均值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30</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4.1.17 人均教育投入（元/人）</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6132.08</w:t>
            </w:r>
          </w:p>
        </w:tc>
      </w:tr>
      <w:tr w:rsidR="007A57F3" w:rsidRPr="00715C04" w:rsidTr="00512ECB">
        <w:trPr>
          <w:trHeight w:val="425"/>
        </w:trPr>
        <w:tc>
          <w:tcPr>
            <w:tcW w:w="1912" w:type="pct"/>
            <w:vMerge/>
            <w:vAlign w:val="center"/>
          </w:tcPr>
          <w:p w:rsidR="007A57F3" w:rsidRPr="00715C04" w:rsidRDefault="007A57F3">
            <w:pPr>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行业平均值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1546.24</w:t>
            </w:r>
          </w:p>
        </w:tc>
      </w:tr>
      <w:tr w:rsidR="007A57F3" w:rsidRPr="00715C04" w:rsidTr="00512ECB">
        <w:trPr>
          <w:trHeight w:val="425"/>
        </w:trPr>
        <w:tc>
          <w:tcPr>
            <w:tcW w:w="5000" w:type="pct"/>
            <w:gridSpan w:val="4"/>
            <w:vAlign w:val="center"/>
          </w:tcPr>
          <w:p w:rsidR="007A57F3" w:rsidRPr="00715C04" w:rsidRDefault="007A57F3">
            <w:pPr>
              <w:widowControl/>
              <w:jc w:val="left"/>
              <w:textAlignment w:val="center"/>
              <w:rPr>
                <w:rFonts w:ascii="仿宋" w:eastAsia="仿宋" w:hAnsi="仿宋" w:cs="仿宋"/>
                <w:szCs w:val="21"/>
              </w:rPr>
            </w:pPr>
            <w:r w:rsidRPr="00715C04">
              <w:rPr>
                <w:rFonts w:ascii="仿宋" w:eastAsia="仿宋" w:hAnsi="仿宋" w:cs="仿宋" w:hint="eastAsia"/>
                <w:kern w:val="0"/>
                <w:szCs w:val="21"/>
              </w:rPr>
              <w:t>4.2-信息指标</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4.2.1  信息化资金投入比例</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19.0%</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6.0%</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2.0%</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4.2.2  软件投入比例</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100.0%</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935" w:type="pct"/>
            <w:gridSpan w:val="2"/>
            <w:vAlign w:val="center"/>
          </w:tcPr>
          <w:p w:rsidR="007A57F3" w:rsidRPr="00715C04" w:rsidRDefault="00670AEC">
            <w:pPr>
              <w:widowControl/>
              <w:jc w:val="right"/>
              <w:textAlignment w:val="center"/>
              <w:rPr>
                <w:rFonts w:ascii="仿宋" w:eastAsia="仿宋" w:hAnsi="仿宋" w:cs="仿宋"/>
                <w:szCs w:val="21"/>
              </w:rPr>
            </w:pPr>
            <w:r w:rsidRPr="00715C04">
              <w:rPr>
                <w:rFonts w:ascii="仿宋" w:eastAsia="仿宋" w:hAnsi="仿宋"/>
                <w:szCs w:val="21"/>
              </w:rPr>
              <w:t>89</w:t>
            </w:r>
            <w:r w:rsidR="007A57F3" w:rsidRPr="00715C04">
              <w:rPr>
                <w:rFonts w:ascii="仿宋" w:eastAsia="仿宋" w:hAnsi="仿宋" w:hint="eastAsia"/>
                <w:szCs w:val="21"/>
              </w:rPr>
              <w:t>.0%</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935" w:type="pct"/>
            <w:gridSpan w:val="2"/>
            <w:vAlign w:val="center"/>
          </w:tcPr>
          <w:p w:rsidR="007A57F3" w:rsidRPr="00715C04" w:rsidRDefault="00670AEC">
            <w:pPr>
              <w:widowControl/>
              <w:jc w:val="right"/>
              <w:textAlignment w:val="center"/>
              <w:rPr>
                <w:rFonts w:ascii="仿宋" w:eastAsia="仿宋" w:hAnsi="仿宋" w:cs="仿宋"/>
                <w:szCs w:val="21"/>
              </w:rPr>
            </w:pPr>
            <w:r w:rsidRPr="00715C04">
              <w:rPr>
                <w:rFonts w:ascii="仿宋" w:eastAsia="仿宋" w:hAnsi="仿宋"/>
                <w:szCs w:val="21"/>
              </w:rPr>
              <w:t>49</w:t>
            </w:r>
            <w:r w:rsidR="007A57F3" w:rsidRPr="00715C04">
              <w:rPr>
                <w:rFonts w:ascii="仿宋" w:eastAsia="仿宋" w:hAnsi="仿宋" w:hint="eastAsia"/>
                <w:szCs w:val="21"/>
              </w:rPr>
              <w:t>.0%</w:t>
            </w:r>
          </w:p>
        </w:tc>
      </w:tr>
      <w:tr w:rsidR="007A57F3" w:rsidRPr="00715C04" w:rsidTr="00512ECB">
        <w:trPr>
          <w:trHeight w:val="425"/>
        </w:trPr>
        <w:tc>
          <w:tcPr>
            <w:tcW w:w="5000" w:type="pct"/>
            <w:gridSpan w:val="4"/>
            <w:vAlign w:val="center"/>
          </w:tcPr>
          <w:p w:rsidR="007A57F3" w:rsidRPr="00715C04" w:rsidRDefault="007A57F3">
            <w:pPr>
              <w:widowControl/>
              <w:jc w:val="left"/>
              <w:textAlignment w:val="center"/>
              <w:rPr>
                <w:rFonts w:ascii="仿宋" w:eastAsia="仿宋" w:hAnsi="仿宋" w:cs="仿宋"/>
                <w:szCs w:val="21"/>
              </w:rPr>
            </w:pPr>
            <w:r w:rsidRPr="00715C04">
              <w:rPr>
                <w:rFonts w:ascii="仿宋" w:eastAsia="仿宋" w:hAnsi="仿宋" w:cs="仿宋" w:hint="eastAsia"/>
                <w:kern w:val="0"/>
                <w:szCs w:val="21"/>
              </w:rPr>
              <w:t>4.3-技术指标</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4.3.1  当年获省、部级勘测设计工程项目奖之和（项/院）</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9</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行业获奖总数</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105</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获奖企业个数</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40</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4.3.2  当年获省、部级工程咨询成果奖之和（项/院）</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7</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行业获奖总数</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19</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获奖企业个数</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9</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4.3.3  当年省部级及以上QC获奖数（项/院）</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9</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行业获奖总数</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33</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获奖企业个数</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16</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4.3.4  拥有专利数量</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256</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行业总专利数</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1500</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专利企业个数</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58</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4.3.5  拥有专有技术数量</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7</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行业总数</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23</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专有技术企业个数</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6</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lastRenderedPageBreak/>
              <w:t>4.3.6  拥有软件著作权数量</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29</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行业总数</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246</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著作权企业个数</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32</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4.3.7  科标信项目直接投入比例（%）</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20%</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12%</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5%</w:t>
            </w:r>
          </w:p>
        </w:tc>
      </w:tr>
      <w:tr w:rsidR="007A57F3" w:rsidRPr="00715C04" w:rsidTr="00512ECB">
        <w:trPr>
          <w:trHeight w:val="397"/>
        </w:trPr>
        <w:tc>
          <w:tcPr>
            <w:tcW w:w="5000" w:type="pct"/>
            <w:gridSpan w:val="4"/>
            <w:vAlign w:val="center"/>
          </w:tcPr>
          <w:p w:rsidR="007A57F3" w:rsidRPr="00715C04" w:rsidRDefault="007A57F3">
            <w:pPr>
              <w:widowControl/>
              <w:jc w:val="left"/>
              <w:textAlignment w:val="center"/>
              <w:rPr>
                <w:rFonts w:ascii="仿宋" w:eastAsia="仿宋" w:hAnsi="仿宋" w:cs="仿宋"/>
                <w:szCs w:val="21"/>
              </w:rPr>
            </w:pPr>
            <w:r w:rsidRPr="00715C04">
              <w:rPr>
                <w:rFonts w:ascii="仿宋" w:eastAsia="仿宋" w:hAnsi="仿宋" w:cs="仿宋" w:hint="eastAsia"/>
                <w:kern w:val="0"/>
                <w:szCs w:val="21"/>
              </w:rPr>
              <w:t>4.4-基础设施指标</w:t>
            </w:r>
          </w:p>
        </w:tc>
      </w:tr>
      <w:tr w:rsidR="007A57F3" w:rsidRPr="00715C04" w:rsidTr="00512ECB">
        <w:trPr>
          <w:trHeight w:val="397"/>
        </w:trPr>
        <w:tc>
          <w:tcPr>
            <w:tcW w:w="1912" w:type="pct"/>
            <w:vAlign w:val="center"/>
          </w:tcPr>
          <w:p w:rsidR="007A57F3" w:rsidRPr="00715C04" w:rsidRDefault="007A57F3">
            <w:pPr>
              <w:widowControl/>
              <w:jc w:val="left"/>
              <w:textAlignment w:val="center"/>
              <w:rPr>
                <w:rFonts w:ascii="仿宋" w:eastAsia="仿宋" w:hAnsi="仿宋" w:cs="仿宋"/>
                <w:szCs w:val="21"/>
              </w:rPr>
            </w:pPr>
            <w:r w:rsidRPr="00715C04">
              <w:rPr>
                <w:rFonts w:ascii="仿宋" w:eastAsia="仿宋" w:hAnsi="仿宋" w:cs="仿宋" w:hint="eastAsia"/>
                <w:kern w:val="0"/>
                <w:szCs w:val="21"/>
              </w:rPr>
              <w:t>4.4.1  人均生产办公面积（平方米/人）</w:t>
            </w: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cs="仿宋" w:hint="eastAsia"/>
                <w:kern w:val="0"/>
                <w:szCs w:val="21"/>
              </w:rPr>
              <w:t>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cs="仿宋" w:hint="eastAsia"/>
                <w:kern w:val="0"/>
                <w:szCs w:val="21"/>
              </w:rPr>
              <w:t>28.77</w:t>
            </w:r>
          </w:p>
        </w:tc>
      </w:tr>
      <w:tr w:rsidR="007A57F3" w:rsidRPr="00715C04" w:rsidTr="00512ECB">
        <w:trPr>
          <w:trHeight w:val="397"/>
        </w:trPr>
        <w:tc>
          <w:tcPr>
            <w:tcW w:w="5000" w:type="pct"/>
            <w:gridSpan w:val="4"/>
            <w:shd w:val="clear" w:color="auto" w:fill="FFFF00"/>
            <w:vAlign w:val="center"/>
          </w:tcPr>
          <w:p w:rsidR="007A57F3" w:rsidRPr="00715C04" w:rsidRDefault="007A57F3">
            <w:pPr>
              <w:widowControl/>
              <w:jc w:val="left"/>
              <w:textAlignment w:val="center"/>
              <w:rPr>
                <w:rFonts w:ascii="仿宋" w:eastAsia="仿宋" w:hAnsi="仿宋" w:cs="仿宋"/>
                <w:szCs w:val="21"/>
              </w:rPr>
            </w:pPr>
            <w:r w:rsidRPr="00715C04">
              <w:rPr>
                <w:rFonts w:ascii="仿宋" w:eastAsia="仿宋" w:hAnsi="仿宋" w:cs="仿宋" w:hint="eastAsia"/>
                <w:b/>
                <w:bCs/>
                <w:kern w:val="0"/>
                <w:szCs w:val="21"/>
              </w:rPr>
              <w:t>5-过程指标</w:t>
            </w:r>
          </w:p>
        </w:tc>
      </w:tr>
      <w:tr w:rsidR="007A57F3" w:rsidRPr="00715C04" w:rsidTr="00512ECB">
        <w:trPr>
          <w:trHeight w:val="397"/>
        </w:trPr>
        <w:tc>
          <w:tcPr>
            <w:tcW w:w="1912" w:type="pc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5.1  质量管理体系认证</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通过的设计院比例</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100%</w:t>
            </w:r>
          </w:p>
        </w:tc>
      </w:tr>
      <w:tr w:rsidR="007A57F3" w:rsidRPr="00715C04" w:rsidTr="00512ECB">
        <w:trPr>
          <w:trHeight w:val="397"/>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5.2  企业标准有效企业标准数量（项/院）</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140</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80</w:t>
            </w:r>
          </w:p>
        </w:tc>
      </w:tr>
      <w:tr w:rsidR="007A57F3" w:rsidRPr="00715C04" w:rsidTr="00512ECB">
        <w:trPr>
          <w:trHeight w:val="397"/>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31</w:t>
            </w:r>
          </w:p>
        </w:tc>
      </w:tr>
      <w:tr w:rsidR="007A57F3" w:rsidRPr="00715C04" w:rsidTr="00512ECB">
        <w:trPr>
          <w:trHeight w:val="397"/>
        </w:trPr>
        <w:tc>
          <w:tcPr>
            <w:tcW w:w="5000" w:type="pct"/>
            <w:gridSpan w:val="4"/>
            <w:shd w:val="clear" w:color="auto" w:fill="FFFF00"/>
            <w:vAlign w:val="center"/>
          </w:tcPr>
          <w:p w:rsidR="007A57F3" w:rsidRPr="00715C04" w:rsidRDefault="007A57F3">
            <w:pPr>
              <w:rPr>
                <w:rFonts w:ascii="仿宋" w:eastAsia="仿宋" w:hAnsi="仿宋" w:cs="仿宋"/>
                <w:szCs w:val="21"/>
              </w:rPr>
            </w:pPr>
            <w:r w:rsidRPr="00715C04">
              <w:rPr>
                <w:rFonts w:ascii="仿宋" w:eastAsia="仿宋" w:hAnsi="仿宋" w:cs="仿宋" w:hint="eastAsia"/>
                <w:b/>
                <w:bCs/>
                <w:kern w:val="0"/>
                <w:szCs w:val="21"/>
              </w:rPr>
              <w:t>6-领导方面指标</w:t>
            </w:r>
          </w:p>
        </w:tc>
      </w:tr>
      <w:tr w:rsidR="007A57F3" w:rsidRPr="00715C04" w:rsidTr="00512ECB">
        <w:trPr>
          <w:trHeight w:val="397"/>
        </w:trPr>
        <w:tc>
          <w:tcPr>
            <w:tcW w:w="5000" w:type="pct"/>
            <w:gridSpan w:val="4"/>
            <w:vAlign w:val="center"/>
          </w:tcPr>
          <w:p w:rsidR="007A57F3" w:rsidRPr="00715C04" w:rsidRDefault="007A57F3">
            <w:pPr>
              <w:widowControl/>
              <w:jc w:val="left"/>
              <w:textAlignment w:val="center"/>
              <w:rPr>
                <w:rFonts w:ascii="仿宋" w:eastAsia="仿宋" w:hAnsi="仿宋" w:cs="仿宋"/>
                <w:szCs w:val="21"/>
              </w:rPr>
            </w:pPr>
            <w:r w:rsidRPr="00715C04">
              <w:rPr>
                <w:rFonts w:ascii="仿宋" w:eastAsia="仿宋" w:hAnsi="仿宋" w:cs="仿宋" w:hint="eastAsia"/>
                <w:kern w:val="0"/>
                <w:szCs w:val="21"/>
              </w:rPr>
              <w:t>6.1-战略目标完成指标</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6.1.1  新签合同年度同比增长率</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392%</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126%</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24%</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6.1.2  营业收入年度同比增长率</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407%</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85%</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935" w:type="pct"/>
            <w:gridSpan w:val="2"/>
            <w:vAlign w:val="center"/>
          </w:tcPr>
          <w:p w:rsidR="007A57F3" w:rsidRPr="00715C04" w:rsidRDefault="00670AEC">
            <w:pPr>
              <w:jc w:val="right"/>
              <w:rPr>
                <w:rFonts w:ascii="仿宋" w:eastAsia="仿宋" w:hAnsi="仿宋" w:cs="宋体"/>
                <w:szCs w:val="21"/>
              </w:rPr>
            </w:pPr>
            <w:r w:rsidRPr="00715C04">
              <w:rPr>
                <w:rFonts w:ascii="仿宋" w:eastAsia="仿宋" w:hAnsi="仿宋"/>
                <w:szCs w:val="21"/>
              </w:rPr>
              <w:t>18</w:t>
            </w:r>
            <w:r w:rsidR="007A57F3" w:rsidRPr="00715C04">
              <w:rPr>
                <w:rFonts w:ascii="仿宋" w:eastAsia="仿宋" w:hAnsi="仿宋" w:hint="eastAsia"/>
                <w:szCs w:val="21"/>
              </w:rPr>
              <w:t>%</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6.1.3  利润总额年度同比增长率</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290%</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前25%平均值</w:t>
            </w:r>
          </w:p>
        </w:tc>
        <w:tc>
          <w:tcPr>
            <w:tcW w:w="1935" w:type="pct"/>
            <w:gridSpan w:val="2"/>
            <w:vAlign w:val="center"/>
          </w:tcPr>
          <w:p w:rsidR="007A57F3" w:rsidRPr="00715C04" w:rsidRDefault="007A57F3" w:rsidP="00670AEC">
            <w:pPr>
              <w:jc w:val="right"/>
              <w:rPr>
                <w:rFonts w:ascii="仿宋" w:eastAsia="仿宋" w:hAnsi="仿宋" w:cs="宋体"/>
                <w:szCs w:val="21"/>
              </w:rPr>
            </w:pPr>
            <w:r w:rsidRPr="00715C04">
              <w:rPr>
                <w:rFonts w:ascii="仿宋" w:eastAsia="仿宋" w:hAnsi="仿宋" w:hint="eastAsia"/>
                <w:szCs w:val="21"/>
              </w:rPr>
              <w:t>7</w:t>
            </w:r>
            <w:r w:rsidR="00670AEC" w:rsidRPr="00715C04">
              <w:rPr>
                <w:rFonts w:ascii="仿宋" w:eastAsia="仿宋" w:hAnsi="仿宋"/>
                <w:szCs w:val="21"/>
              </w:rPr>
              <w:t>0</w:t>
            </w:r>
            <w:r w:rsidRPr="00715C04">
              <w:rPr>
                <w:rFonts w:ascii="仿宋" w:eastAsia="仿宋" w:hAnsi="仿宋" w:hint="eastAsia"/>
                <w:szCs w:val="21"/>
              </w:rPr>
              <w:t>%</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935" w:type="pct"/>
            <w:gridSpan w:val="2"/>
            <w:vAlign w:val="center"/>
          </w:tcPr>
          <w:p w:rsidR="007A57F3" w:rsidRPr="00715C04" w:rsidRDefault="00670AEC">
            <w:pPr>
              <w:jc w:val="right"/>
              <w:rPr>
                <w:rFonts w:ascii="仿宋" w:eastAsia="仿宋" w:hAnsi="仿宋" w:cs="宋体"/>
                <w:szCs w:val="21"/>
              </w:rPr>
            </w:pPr>
            <w:r w:rsidRPr="00715C04">
              <w:rPr>
                <w:rFonts w:ascii="仿宋" w:eastAsia="仿宋" w:hAnsi="仿宋"/>
                <w:szCs w:val="21"/>
              </w:rPr>
              <w:t>4</w:t>
            </w:r>
            <w:r w:rsidR="007A57F3" w:rsidRPr="00715C04">
              <w:rPr>
                <w:rFonts w:ascii="仿宋" w:eastAsia="仿宋" w:hAnsi="仿宋" w:hint="eastAsia"/>
                <w:szCs w:val="21"/>
              </w:rPr>
              <w:t>%</w:t>
            </w:r>
          </w:p>
        </w:tc>
      </w:tr>
      <w:tr w:rsidR="007A57F3" w:rsidRPr="00715C04" w:rsidTr="00512ECB">
        <w:trPr>
          <w:trHeight w:val="425"/>
        </w:trPr>
        <w:tc>
          <w:tcPr>
            <w:tcW w:w="5000" w:type="pct"/>
            <w:gridSpan w:val="4"/>
            <w:vAlign w:val="center"/>
          </w:tcPr>
          <w:p w:rsidR="007A57F3" w:rsidRPr="00715C04" w:rsidRDefault="007A57F3">
            <w:pPr>
              <w:widowControl/>
              <w:jc w:val="left"/>
              <w:textAlignment w:val="center"/>
              <w:rPr>
                <w:rFonts w:ascii="仿宋" w:eastAsia="仿宋" w:hAnsi="仿宋" w:cs="仿宋"/>
                <w:szCs w:val="21"/>
              </w:rPr>
            </w:pPr>
            <w:r w:rsidRPr="00715C04">
              <w:rPr>
                <w:rFonts w:ascii="仿宋" w:eastAsia="仿宋" w:hAnsi="仿宋" w:cs="仿宋" w:hint="eastAsia"/>
                <w:kern w:val="0"/>
                <w:szCs w:val="21"/>
              </w:rPr>
              <w:t>6.2-组织治理和社会责任指标</w:t>
            </w:r>
          </w:p>
        </w:tc>
      </w:tr>
      <w:tr w:rsidR="007A57F3" w:rsidRPr="00715C04" w:rsidTr="00512ECB">
        <w:trPr>
          <w:trHeight w:val="425"/>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6.2.1  公益事业捐款总额（万元）</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最高值</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220</w:t>
            </w:r>
          </w:p>
        </w:tc>
      </w:tr>
      <w:tr w:rsidR="007A57F3" w:rsidRPr="00715C04" w:rsidTr="00512ECB">
        <w:trPr>
          <w:trHeight w:val="425"/>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平均值</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6</w:t>
            </w:r>
          </w:p>
        </w:tc>
      </w:tr>
      <w:tr w:rsidR="007A57F3" w:rsidRPr="00715C04" w:rsidTr="00512ECB">
        <w:trPr>
          <w:trHeight w:val="454"/>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lastRenderedPageBreak/>
              <w:t>6.2.2  环境管理系统认证、职业健康安全管理体系认证</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通过企业个数</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89</w:t>
            </w:r>
          </w:p>
        </w:tc>
      </w:tr>
      <w:tr w:rsidR="007A57F3" w:rsidRPr="00715C04" w:rsidTr="00512ECB">
        <w:trPr>
          <w:trHeight w:val="454"/>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通过率</w:t>
            </w:r>
          </w:p>
        </w:tc>
        <w:tc>
          <w:tcPr>
            <w:tcW w:w="1935" w:type="pct"/>
            <w:gridSpan w:val="2"/>
            <w:vAlign w:val="center"/>
          </w:tcPr>
          <w:p w:rsidR="007A57F3" w:rsidRPr="00715C04" w:rsidRDefault="00C3421E" w:rsidP="00C3421E">
            <w:pPr>
              <w:widowControl/>
              <w:jc w:val="right"/>
              <w:textAlignment w:val="center"/>
              <w:rPr>
                <w:rFonts w:ascii="仿宋" w:eastAsia="仿宋" w:hAnsi="仿宋" w:cs="仿宋"/>
                <w:szCs w:val="21"/>
              </w:rPr>
            </w:pPr>
            <w:r w:rsidRPr="00715C04">
              <w:rPr>
                <w:rFonts w:ascii="仿宋" w:eastAsia="仿宋" w:hAnsi="仿宋"/>
                <w:szCs w:val="21"/>
              </w:rPr>
              <w:t>96</w:t>
            </w:r>
            <w:r w:rsidR="007A57F3" w:rsidRPr="00715C04">
              <w:rPr>
                <w:rFonts w:ascii="仿宋" w:eastAsia="仿宋" w:hAnsi="仿宋" w:hint="eastAsia"/>
                <w:szCs w:val="21"/>
              </w:rPr>
              <w:t>.</w:t>
            </w:r>
            <w:r w:rsidRPr="00715C04">
              <w:rPr>
                <w:rFonts w:ascii="仿宋" w:eastAsia="仿宋" w:hAnsi="仿宋"/>
                <w:szCs w:val="21"/>
              </w:rPr>
              <w:t>7</w:t>
            </w:r>
            <w:r w:rsidR="007A57F3" w:rsidRPr="00715C04">
              <w:rPr>
                <w:rFonts w:ascii="仿宋" w:eastAsia="仿宋" w:hAnsi="仿宋" w:hint="eastAsia"/>
                <w:szCs w:val="21"/>
              </w:rPr>
              <w:t>%</w:t>
            </w:r>
          </w:p>
        </w:tc>
      </w:tr>
      <w:tr w:rsidR="007A57F3" w:rsidRPr="00715C04" w:rsidTr="00512ECB">
        <w:trPr>
          <w:trHeight w:val="454"/>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6.2.3  企业行业信用等级</w:t>
            </w: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3A通过企业个数</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40</w:t>
            </w:r>
          </w:p>
        </w:tc>
      </w:tr>
      <w:tr w:rsidR="007A57F3" w:rsidRPr="00715C04" w:rsidTr="00512ECB">
        <w:trPr>
          <w:trHeight w:val="454"/>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2A通过企业个数</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13</w:t>
            </w:r>
          </w:p>
        </w:tc>
      </w:tr>
      <w:tr w:rsidR="007A57F3" w:rsidRPr="00715C04" w:rsidTr="00512ECB">
        <w:trPr>
          <w:trHeight w:val="454"/>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jc w:val="center"/>
              <w:rPr>
                <w:rFonts w:ascii="仿宋" w:eastAsia="仿宋" w:hAnsi="仿宋" w:cs="宋体"/>
                <w:szCs w:val="21"/>
              </w:rPr>
            </w:pPr>
            <w:r w:rsidRPr="00715C04">
              <w:rPr>
                <w:rFonts w:ascii="仿宋" w:eastAsia="仿宋" w:hAnsi="仿宋" w:hint="eastAsia"/>
                <w:szCs w:val="21"/>
              </w:rPr>
              <w:t>1A通过企业个数</w:t>
            </w:r>
          </w:p>
        </w:tc>
        <w:tc>
          <w:tcPr>
            <w:tcW w:w="1935" w:type="pct"/>
            <w:gridSpan w:val="2"/>
            <w:vAlign w:val="center"/>
          </w:tcPr>
          <w:p w:rsidR="007A57F3" w:rsidRPr="00715C04" w:rsidRDefault="007A57F3">
            <w:pPr>
              <w:jc w:val="right"/>
              <w:rPr>
                <w:rFonts w:ascii="仿宋" w:eastAsia="仿宋" w:hAnsi="仿宋" w:cs="宋体"/>
                <w:szCs w:val="21"/>
              </w:rPr>
            </w:pPr>
            <w:r w:rsidRPr="00715C04">
              <w:rPr>
                <w:rFonts w:ascii="仿宋" w:eastAsia="仿宋" w:hAnsi="仿宋" w:hint="eastAsia"/>
                <w:szCs w:val="21"/>
              </w:rPr>
              <w:t>0</w:t>
            </w:r>
          </w:p>
        </w:tc>
      </w:tr>
      <w:tr w:rsidR="007A57F3" w:rsidRPr="00715C04" w:rsidTr="00512ECB">
        <w:trPr>
          <w:trHeight w:val="454"/>
        </w:trPr>
        <w:tc>
          <w:tcPr>
            <w:tcW w:w="1912" w:type="pct"/>
            <w:vMerge w:val="restart"/>
            <w:vAlign w:val="center"/>
          </w:tcPr>
          <w:p w:rsidR="007A57F3" w:rsidRPr="00715C04" w:rsidRDefault="007A57F3">
            <w:pPr>
              <w:rPr>
                <w:rFonts w:ascii="仿宋" w:eastAsia="仿宋" w:hAnsi="仿宋" w:cs="宋体"/>
                <w:szCs w:val="21"/>
              </w:rPr>
            </w:pPr>
            <w:r w:rsidRPr="00715C04">
              <w:rPr>
                <w:rFonts w:ascii="仿宋" w:eastAsia="仿宋" w:hAnsi="仿宋" w:hint="eastAsia"/>
                <w:szCs w:val="21"/>
              </w:rPr>
              <w:t>6.2.4  企业商业诚信等级</w:t>
            </w: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3A通过企业个数</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31</w:t>
            </w:r>
          </w:p>
        </w:tc>
      </w:tr>
      <w:tr w:rsidR="007A57F3" w:rsidRPr="00715C04" w:rsidTr="00512ECB">
        <w:trPr>
          <w:trHeight w:val="454"/>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2A通过企业个数</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5</w:t>
            </w:r>
          </w:p>
        </w:tc>
      </w:tr>
      <w:tr w:rsidR="007A57F3" w:rsidRPr="00715C04" w:rsidTr="00512ECB">
        <w:trPr>
          <w:trHeight w:val="454"/>
        </w:trPr>
        <w:tc>
          <w:tcPr>
            <w:tcW w:w="1912" w:type="pct"/>
            <w:vMerge/>
            <w:vAlign w:val="center"/>
          </w:tcPr>
          <w:p w:rsidR="007A57F3" w:rsidRPr="00715C04" w:rsidRDefault="007A57F3">
            <w:pPr>
              <w:jc w:val="left"/>
              <w:rPr>
                <w:rFonts w:ascii="仿宋" w:eastAsia="仿宋" w:hAnsi="仿宋" w:cs="仿宋"/>
                <w:szCs w:val="21"/>
              </w:rPr>
            </w:pPr>
          </w:p>
        </w:tc>
        <w:tc>
          <w:tcPr>
            <w:tcW w:w="1153" w:type="pct"/>
            <w:vAlign w:val="center"/>
          </w:tcPr>
          <w:p w:rsidR="007A57F3" w:rsidRPr="00715C04" w:rsidRDefault="007A57F3">
            <w:pPr>
              <w:widowControl/>
              <w:jc w:val="center"/>
              <w:textAlignment w:val="center"/>
              <w:rPr>
                <w:rFonts w:ascii="仿宋" w:eastAsia="仿宋" w:hAnsi="仿宋" w:cs="仿宋"/>
                <w:szCs w:val="21"/>
              </w:rPr>
            </w:pPr>
            <w:r w:rsidRPr="00715C04">
              <w:rPr>
                <w:rFonts w:ascii="仿宋" w:eastAsia="仿宋" w:hAnsi="仿宋" w:hint="eastAsia"/>
                <w:szCs w:val="21"/>
              </w:rPr>
              <w:t>1A通过企业个数</w:t>
            </w:r>
          </w:p>
        </w:tc>
        <w:tc>
          <w:tcPr>
            <w:tcW w:w="1935" w:type="pct"/>
            <w:gridSpan w:val="2"/>
            <w:vAlign w:val="center"/>
          </w:tcPr>
          <w:p w:rsidR="007A57F3" w:rsidRPr="00715C04" w:rsidRDefault="007A57F3">
            <w:pPr>
              <w:widowControl/>
              <w:jc w:val="right"/>
              <w:textAlignment w:val="center"/>
              <w:rPr>
                <w:rFonts w:ascii="仿宋" w:eastAsia="仿宋" w:hAnsi="仿宋" w:cs="仿宋"/>
                <w:szCs w:val="21"/>
              </w:rPr>
            </w:pPr>
            <w:r w:rsidRPr="00715C04">
              <w:rPr>
                <w:rFonts w:ascii="仿宋" w:eastAsia="仿宋" w:hAnsi="仿宋" w:hint="eastAsia"/>
                <w:szCs w:val="21"/>
              </w:rPr>
              <w:t>2</w:t>
            </w:r>
          </w:p>
        </w:tc>
      </w:tr>
    </w:tbl>
    <w:p w:rsidR="007A57F3" w:rsidRDefault="007A57F3">
      <w:pPr>
        <w:jc w:val="center"/>
        <w:rPr>
          <w:b/>
          <w:szCs w:val="21"/>
        </w:rPr>
      </w:pPr>
    </w:p>
    <w:sectPr w:rsidR="007A57F3" w:rsidSect="00512ECB">
      <w:footerReference w:type="even" r:id="rId7"/>
      <w:footerReference w:type="default" r:id="rId8"/>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6C7" w:rsidRDefault="00D746C7">
      <w:r>
        <w:separator/>
      </w:r>
    </w:p>
  </w:endnote>
  <w:endnote w:type="continuationSeparator" w:id="0">
    <w:p w:rsidR="00D746C7" w:rsidRDefault="00D7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ECB" w:rsidRDefault="00512ECB" w:rsidP="00512ECB">
    <w:pPr>
      <w:pStyle w:val="a6"/>
      <w:spacing w:line="320" w:lineRule="exact"/>
      <w:rPr>
        <w:rFonts w:ascii="宋体" w:hAnsi="宋体"/>
        <w:kern w:val="0"/>
        <w:sz w:val="28"/>
        <w:szCs w:val="28"/>
      </w:rPr>
    </w:pPr>
    <w:r>
      <w:rPr>
        <w:rStyle w:val="a8"/>
        <w:rFonts w:ascii="宋体" w:hAnsi="宋体" w:hint="eastAsia"/>
        <w:sz w:val="28"/>
        <w:szCs w:val="28"/>
      </w:rPr>
      <w:t xml:space="preserve">— </w:t>
    </w:r>
    <w:r w:rsidR="000308DE">
      <w:rPr>
        <w:rStyle w:val="a8"/>
        <w:rFonts w:ascii="宋体" w:hAnsi="宋体"/>
        <w:sz w:val="28"/>
        <w:szCs w:val="28"/>
      </w:rPr>
      <w:fldChar w:fldCharType="begin"/>
    </w:r>
    <w:r>
      <w:rPr>
        <w:rStyle w:val="a8"/>
        <w:rFonts w:ascii="宋体" w:hAnsi="宋体"/>
        <w:sz w:val="28"/>
        <w:szCs w:val="28"/>
      </w:rPr>
      <w:instrText xml:space="preserve">PAGE  </w:instrText>
    </w:r>
    <w:r w:rsidR="000308DE">
      <w:rPr>
        <w:rStyle w:val="a8"/>
        <w:rFonts w:ascii="宋体" w:hAnsi="宋体"/>
        <w:sz w:val="28"/>
        <w:szCs w:val="28"/>
      </w:rPr>
      <w:fldChar w:fldCharType="separate"/>
    </w:r>
    <w:r w:rsidR="00D469F4">
      <w:rPr>
        <w:rStyle w:val="a8"/>
        <w:rFonts w:ascii="宋体" w:hAnsi="宋体"/>
        <w:noProof/>
        <w:sz w:val="28"/>
        <w:szCs w:val="28"/>
      </w:rPr>
      <w:t>2</w:t>
    </w:r>
    <w:r w:rsidR="000308DE">
      <w:rPr>
        <w:rStyle w:val="a8"/>
        <w:rFonts w:ascii="宋体" w:hAnsi="宋体"/>
        <w:sz w:val="28"/>
        <w:szCs w:val="28"/>
      </w:rPr>
      <w:fldChar w:fldCharType="end"/>
    </w:r>
    <w:r>
      <w:rPr>
        <w:rStyle w:val="a8"/>
        <w:rFonts w:ascii="宋体" w:hAnsi="宋体" w:hint="eastAsia"/>
        <w:sz w:val="28"/>
        <w:szCs w:val="28"/>
      </w:rPr>
      <w:t xml:space="preserve"> —</w:t>
    </w:r>
  </w:p>
  <w:p w:rsidR="00512ECB" w:rsidRDefault="00512EC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ECB" w:rsidRDefault="00512ECB" w:rsidP="00512ECB">
    <w:pPr>
      <w:pStyle w:val="a6"/>
      <w:spacing w:line="320" w:lineRule="exact"/>
      <w:jc w:val="right"/>
      <w:rPr>
        <w:rFonts w:ascii="宋体" w:hAnsi="宋体"/>
        <w:kern w:val="0"/>
        <w:sz w:val="28"/>
        <w:szCs w:val="28"/>
      </w:rPr>
    </w:pPr>
    <w:r>
      <w:rPr>
        <w:rStyle w:val="a8"/>
        <w:rFonts w:ascii="宋体" w:hAnsi="宋体" w:hint="eastAsia"/>
        <w:sz w:val="28"/>
        <w:szCs w:val="28"/>
      </w:rPr>
      <w:t xml:space="preserve">— </w:t>
    </w:r>
    <w:r w:rsidR="000308DE">
      <w:rPr>
        <w:rStyle w:val="a8"/>
        <w:rFonts w:ascii="宋体" w:hAnsi="宋体"/>
        <w:sz w:val="28"/>
        <w:szCs w:val="28"/>
      </w:rPr>
      <w:fldChar w:fldCharType="begin"/>
    </w:r>
    <w:r>
      <w:rPr>
        <w:rStyle w:val="a8"/>
        <w:rFonts w:ascii="宋体" w:hAnsi="宋体"/>
        <w:sz w:val="28"/>
        <w:szCs w:val="28"/>
      </w:rPr>
      <w:instrText xml:space="preserve">PAGE  </w:instrText>
    </w:r>
    <w:r w:rsidR="000308DE">
      <w:rPr>
        <w:rStyle w:val="a8"/>
        <w:rFonts w:ascii="宋体" w:hAnsi="宋体"/>
        <w:sz w:val="28"/>
        <w:szCs w:val="28"/>
      </w:rPr>
      <w:fldChar w:fldCharType="separate"/>
    </w:r>
    <w:r w:rsidR="00D469F4">
      <w:rPr>
        <w:rStyle w:val="a8"/>
        <w:rFonts w:ascii="宋体" w:hAnsi="宋体"/>
        <w:noProof/>
        <w:sz w:val="28"/>
        <w:szCs w:val="28"/>
      </w:rPr>
      <w:t>1</w:t>
    </w:r>
    <w:r w:rsidR="000308DE">
      <w:rPr>
        <w:rStyle w:val="a8"/>
        <w:rFonts w:ascii="宋体" w:hAnsi="宋体"/>
        <w:sz w:val="28"/>
        <w:szCs w:val="28"/>
      </w:rPr>
      <w:fldChar w:fldCharType="end"/>
    </w:r>
    <w:r>
      <w:rPr>
        <w:rStyle w:val="a8"/>
        <w:rFonts w:ascii="宋体" w:hAnsi="宋体" w:hint="eastAsia"/>
        <w:sz w:val="28"/>
        <w:szCs w:val="28"/>
      </w:rPr>
      <w:t xml:space="preserve"> —</w:t>
    </w:r>
  </w:p>
  <w:p w:rsidR="00512ECB" w:rsidRDefault="00512E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6C7" w:rsidRDefault="00D746C7">
      <w:r>
        <w:separator/>
      </w:r>
    </w:p>
  </w:footnote>
  <w:footnote w:type="continuationSeparator" w:id="0">
    <w:p w:rsidR="00D746C7" w:rsidRDefault="00D74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FC0B5D"/>
    <w:rsid w:val="000156F9"/>
    <w:rsid w:val="000308DE"/>
    <w:rsid w:val="00050E07"/>
    <w:rsid w:val="00087C7E"/>
    <w:rsid w:val="00125585"/>
    <w:rsid w:val="001B169A"/>
    <w:rsid w:val="001B18C0"/>
    <w:rsid w:val="00207DF3"/>
    <w:rsid w:val="00230984"/>
    <w:rsid w:val="00287171"/>
    <w:rsid w:val="002D2CEB"/>
    <w:rsid w:val="00382B1D"/>
    <w:rsid w:val="00397363"/>
    <w:rsid w:val="003C7468"/>
    <w:rsid w:val="004622B2"/>
    <w:rsid w:val="004A05E0"/>
    <w:rsid w:val="004F74FB"/>
    <w:rsid w:val="00512ECB"/>
    <w:rsid w:val="00561072"/>
    <w:rsid w:val="00561D75"/>
    <w:rsid w:val="00563AFE"/>
    <w:rsid w:val="00580797"/>
    <w:rsid w:val="005D4C81"/>
    <w:rsid w:val="005E3CD4"/>
    <w:rsid w:val="00670AEC"/>
    <w:rsid w:val="006A65A4"/>
    <w:rsid w:val="006E7B3C"/>
    <w:rsid w:val="00715C04"/>
    <w:rsid w:val="007A57F3"/>
    <w:rsid w:val="007B3256"/>
    <w:rsid w:val="0085100A"/>
    <w:rsid w:val="00855611"/>
    <w:rsid w:val="008622D3"/>
    <w:rsid w:val="008625B6"/>
    <w:rsid w:val="00864BB9"/>
    <w:rsid w:val="00895D35"/>
    <w:rsid w:val="008F1B9E"/>
    <w:rsid w:val="00952150"/>
    <w:rsid w:val="009544FD"/>
    <w:rsid w:val="009C4BB1"/>
    <w:rsid w:val="00A13287"/>
    <w:rsid w:val="00A42EF8"/>
    <w:rsid w:val="00A67C9F"/>
    <w:rsid w:val="00A87393"/>
    <w:rsid w:val="00A96AD9"/>
    <w:rsid w:val="00AE5977"/>
    <w:rsid w:val="00AF06C8"/>
    <w:rsid w:val="00B365D9"/>
    <w:rsid w:val="00B45017"/>
    <w:rsid w:val="00B51872"/>
    <w:rsid w:val="00C3421E"/>
    <w:rsid w:val="00C4181C"/>
    <w:rsid w:val="00C7214F"/>
    <w:rsid w:val="00C95BAF"/>
    <w:rsid w:val="00D0219D"/>
    <w:rsid w:val="00D0311A"/>
    <w:rsid w:val="00D469F4"/>
    <w:rsid w:val="00D746C7"/>
    <w:rsid w:val="00DA6188"/>
    <w:rsid w:val="00E120AC"/>
    <w:rsid w:val="00E44E0F"/>
    <w:rsid w:val="00E95F88"/>
    <w:rsid w:val="00E97B38"/>
    <w:rsid w:val="00EB33E9"/>
    <w:rsid w:val="00ED4B53"/>
    <w:rsid w:val="00EE63EE"/>
    <w:rsid w:val="00F364FA"/>
    <w:rsid w:val="00F42135"/>
    <w:rsid w:val="00F42E90"/>
    <w:rsid w:val="00F7126F"/>
    <w:rsid w:val="00FC0B5D"/>
    <w:rsid w:val="00FD01AE"/>
    <w:rsid w:val="00FD7803"/>
    <w:rsid w:val="06DE6E01"/>
    <w:rsid w:val="1D8E16B7"/>
    <w:rsid w:val="2698295B"/>
    <w:rsid w:val="347F0279"/>
    <w:rsid w:val="40546EC6"/>
    <w:rsid w:val="473539D4"/>
    <w:rsid w:val="557C0C2C"/>
    <w:rsid w:val="6A257576"/>
    <w:rsid w:val="6AED6A09"/>
    <w:rsid w:val="6E625DA2"/>
    <w:rsid w:val="77F919BD"/>
    <w:rsid w:val="7F291579"/>
    <w:rsid w:val="7FD6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08CEE1-D890-463F-A5EB-4723930B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A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63AFE"/>
    <w:rPr>
      <w:color w:val="0563C1"/>
      <w:u w:val="single"/>
    </w:rPr>
  </w:style>
  <w:style w:type="character" w:customStyle="1" w:styleId="Char">
    <w:name w:val="批注框文本 Char"/>
    <w:link w:val="a4"/>
    <w:uiPriority w:val="99"/>
    <w:semiHidden/>
    <w:rsid w:val="00563AFE"/>
    <w:rPr>
      <w:kern w:val="2"/>
      <w:sz w:val="18"/>
      <w:szCs w:val="18"/>
    </w:rPr>
  </w:style>
  <w:style w:type="character" w:customStyle="1" w:styleId="Char0">
    <w:name w:val="日期 Char"/>
    <w:link w:val="a5"/>
    <w:uiPriority w:val="99"/>
    <w:semiHidden/>
    <w:rsid w:val="00563AFE"/>
    <w:rPr>
      <w:kern w:val="2"/>
      <w:sz w:val="21"/>
      <w:szCs w:val="22"/>
    </w:rPr>
  </w:style>
  <w:style w:type="character" w:customStyle="1" w:styleId="Char1">
    <w:name w:val="页脚 Char"/>
    <w:link w:val="a6"/>
    <w:uiPriority w:val="99"/>
    <w:rsid w:val="00563AFE"/>
    <w:rPr>
      <w:kern w:val="2"/>
      <w:sz w:val="18"/>
      <w:szCs w:val="18"/>
    </w:rPr>
  </w:style>
  <w:style w:type="character" w:customStyle="1" w:styleId="Char2">
    <w:name w:val="页眉 Char"/>
    <w:link w:val="a7"/>
    <w:uiPriority w:val="99"/>
    <w:rsid w:val="00563AFE"/>
    <w:rPr>
      <w:kern w:val="2"/>
      <w:sz w:val="18"/>
      <w:szCs w:val="18"/>
    </w:rPr>
  </w:style>
  <w:style w:type="paragraph" w:styleId="a5">
    <w:name w:val="Date"/>
    <w:basedOn w:val="a"/>
    <w:next w:val="a"/>
    <w:link w:val="Char0"/>
    <w:uiPriority w:val="99"/>
    <w:unhideWhenUsed/>
    <w:rsid w:val="00563AFE"/>
    <w:pPr>
      <w:ind w:leftChars="2500" w:left="100"/>
    </w:pPr>
  </w:style>
  <w:style w:type="paragraph" w:styleId="a4">
    <w:name w:val="Balloon Text"/>
    <w:basedOn w:val="a"/>
    <w:link w:val="Char"/>
    <w:uiPriority w:val="99"/>
    <w:unhideWhenUsed/>
    <w:rsid w:val="00563AFE"/>
    <w:rPr>
      <w:sz w:val="18"/>
      <w:szCs w:val="18"/>
    </w:rPr>
  </w:style>
  <w:style w:type="paragraph" w:styleId="a7">
    <w:name w:val="header"/>
    <w:basedOn w:val="a"/>
    <w:link w:val="Char2"/>
    <w:uiPriority w:val="99"/>
    <w:unhideWhenUsed/>
    <w:rsid w:val="00563AFE"/>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unhideWhenUsed/>
    <w:rsid w:val="00563AFE"/>
    <w:pPr>
      <w:tabs>
        <w:tab w:val="center" w:pos="4153"/>
        <w:tab w:val="right" w:pos="8306"/>
      </w:tabs>
      <w:snapToGrid w:val="0"/>
      <w:jc w:val="left"/>
    </w:pPr>
    <w:rPr>
      <w:sz w:val="18"/>
      <w:szCs w:val="18"/>
    </w:rPr>
  </w:style>
  <w:style w:type="character" w:styleId="a8">
    <w:name w:val="page number"/>
    <w:basedOn w:val="a0"/>
    <w:rsid w:val="00512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ppea.net&#65289;&#19978;&#26597;&#3840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Links>
    <vt:vector size="6" baseType="variant">
      <vt:variant>
        <vt:i4>-1193158606</vt:i4>
      </vt:variant>
      <vt:variant>
        <vt:i4>0</vt:i4>
      </vt:variant>
      <vt:variant>
        <vt:i4>0</vt:i4>
      </vt:variant>
      <vt:variant>
        <vt:i4>5</vt:i4>
      </vt:variant>
      <vt:variant>
        <vt:lpwstr>http://www.ceppea.net）上查阅“2017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赵大明</dc:creator>
  <cp:keywords/>
  <dc:description/>
  <cp:lastModifiedBy>刘柏毅</cp:lastModifiedBy>
  <cp:revision>10</cp:revision>
  <cp:lastPrinted>2018-04-09T00:05:00Z</cp:lastPrinted>
  <dcterms:created xsi:type="dcterms:W3CDTF">2020-06-01T05:46:00Z</dcterms:created>
  <dcterms:modified xsi:type="dcterms:W3CDTF">2020-06-05T07:47:00Z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