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4"/>
      </w:tblGrid>
      <w:tr w:rsidR="005C6D85" w:rsidTr="006D4A6C">
        <w:trPr>
          <w:trHeight w:hRule="exact" w:val="1978"/>
        </w:trPr>
        <w:tc>
          <w:tcPr>
            <w:tcW w:w="5000" w:type="pct"/>
          </w:tcPr>
          <w:p w:rsidR="005C6D85" w:rsidRDefault="005C6D85" w:rsidP="006D4A6C">
            <w:pPr>
              <w:spacing w:line="40" w:lineRule="exact"/>
              <w:rPr>
                <w:rFonts w:ascii="方正黑体_GBK" w:eastAsia="方正黑体_GBK"/>
              </w:rPr>
            </w:pPr>
          </w:p>
        </w:tc>
      </w:tr>
      <w:tr w:rsidR="005C6D85" w:rsidTr="006D4A6C">
        <w:trPr>
          <w:trHeight w:hRule="exact" w:val="1321"/>
        </w:trPr>
        <w:tc>
          <w:tcPr>
            <w:tcW w:w="5000" w:type="pct"/>
          </w:tcPr>
          <w:p w:rsidR="005C6D85" w:rsidRDefault="005C6D85" w:rsidP="006D4A6C">
            <w:pPr>
              <w:jc w:val="center"/>
              <w:rPr>
                <w:rFonts w:ascii="方正大标宋简体" w:eastAsia="方正大标宋简体" w:hAnsi="Arial Narrow"/>
                <w:bCs/>
                <w:color w:val="FF0000"/>
                <w:spacing w:val="-8"/>
                <w:w w:val="66"/>
                <w:sz w:val="106"/>
                <w:szCs w:val="106"/>
              </w:rPr>
            </w:pPr>
            <w:r>
              <w:rPr>
                <w:rFonts w:ascii="方正大标宋简体" w:eastAsia="方正大标宋简体" w:hAnsi="Arial Narrow" w:hint="eastAsia"/>
                <w:bCs/>
                <w:color w:val="FF0000"/>
                <w:spacing w:val="-8"/>
                <w:w w:val="66"/>
                <w:sz w:val="106"/>
                <w:szCs w:val="106"/>
              </w:rPr>
              <w:t>中国电力规划设计协会文件</w:t>
            </w:r>
          </w:p>
          <w:p w:rsidR="005C6D85" w:rsidRDefault="005C6D85" w:rsidP="006D4A6C">
            <w:pPr>
              <w:jc w:val="center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5C6D85" w:rsidTr="006D4A6C">
        <w:trPr>
          <w:trHeight w:hRule="exact" w:val="517"/>
        </w:trPr>
        <w:tc>
          <w:tcPr>
            <w:tcW w:w="5000" w:type="pct"/>
          </w:tcPr>
          <w:p w:rsidR="005C6D85" w:rsidRDefault="005C6D85" w:rsidP="006D4A6C">
            <w:pPr>
              <w:rPr>
                <w:rFonts w:ascii="仿宋_GB2312"/>
              </w:rPr>
            </w:pPr>
          </w:p>
        </w:tc>
      </w:tr>
      <w:tr w:rsidR="005C6D85" w:rsidTr="006D4A6C">
        <w:trPr>
          <w:trHeight w:hRule="exact" w:val="553"/>
        </w:trPr>
        <w:tc>
          <w:tcPr>
            <w:tcW w:w="5000" w:type="pct"/>
          </w:tcPr>
          <w:p w:rsidR="005C6D85" w:rsidRDefault="005C6D85" w:rsidP="006D4A6C">
            <w:pPr>
              <w:rPr>
                <w:rFonts w:ascii="仿宋_GB2312"/>
              </w:rPr>
            </w:pPr>
          </w:p>
        </w:tc>
      </w:tr>
      <w:tr w:rsidR="005C6D85" w:rsidTr="006D4A6C">
        <w:trPr>
          <w:trHeight w:hRule="exact" w:val="567"/>
        </w:trPr>
        <w:tc>
          <w:tcPr>
            <w:tcW w:w="5000" w:type="pct"/>
          </w:tcPr>
          <w:p w:rsidR="005C6D85" w:rsidRDefault="00401909" w:rsidP="006D4A6C">
            <w:pPr>
              <w:jc w:val="center"/>
              <w:rPr>
                <w:rFonts w:ascii="仿宋_GB2312"/>
              </w:rPr>
            </w:pPr>
            <w:r w:rsidRPr="00401909">
              <w:rPr>
                <w:rFonts w:ascii="华文楷体" w:eastAsia="华文楷体" w:hAnsi="华文楷体" w:hint="eastAsia"/>
                <w:sz w:val="32"/>
                <w:szCs w:val="32"/>
              </w:rPr>
              <w:t>电规协业〔2020〕70号</w:t>
            </w:r>
          </w:p>
        </w:tc>
      </w:tr>
      <w:tr w:rsidR="005C6D85" w:rsidTr="006D4A6C">
        <w:trPr>
          <w:trHeight w:hRule="exact" w:val="510"/>
        </w:trPr>
        <w:tc>
          <w:tcPr>
            <w:tcW w:w="5000" w:type="pct"/>
          </w:tcPr>
          <w:p w:rsidR="005C6D85" w:rsidRDefault="004B389E" w:rsidP="005C6D85">
            <w:pPr>
              <w:ind w:rightChars="100" w:right="210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EB410C"/>
              </w:rPr>
              <w:pict>
                <v:line id="DocMarkLine" o:spid="_x0000_s1026" style="position:absolute;left:0;text-align:left;z-index:251660288;mso-position-horizontal-relative:margin;mso-position-vertical-relative:line" from="0,5.6pt" to="442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1.25pt">
                  <w10:wrap anchorx="margin"/>
                </v:line>
              </w:pict>
            </w:r>
          </w:p>
        </w:tc>
      </w:tr>
      <w:tr w:rsidR="005C6D85" w:rsidTr="00D14C6B">
        <w:trPr>
          <w:trHeight w:hRule="exact" w:val="359"/>
        </w:trPr>
        <w:tc>
          <w:tcPr>
            <w:tcW w:w="5000" w:type="pct"/>
          </w:tcPr>
          <w:p w:rsidR="005C6D85" w:rsidRDefault="005C6D85" w:rsidP="005C6D85">
            <w:pPr>
              <w:ind w:rightChars="100" w:right="210"/>
              <w:jc w:val="center"/>
              <w:rPr>
                <w:rFonts w:ascii="仿宋_GB2312"/>
                <w:color w:val="EB410C"/>
              </w:rPr>
            </w:pPr>
          </w:p>
          <w:p w:rsidR="00D14C6B" w:rsidRDefault="00D14C6B" w:rsidP="005C6D85">
            <w:pPr>
              <w:ind w:rightChars="100" w:right="210"/>
              <w:jc w:val="center"/>
              <w:rPr>
                <w:rFonts w:ascii="仿宋_GB2312"/>
                <w:color w:val="EB410C"/>
              </w:rPr>
            </w:pPr>
          </w:p>
        </w:tc>
      </w:tr>
    </w:tbl>
    <w:p w:rsidR="00D14C6B" w:rsidRDefault="00D14C6B" w:rsidP="00D14C6B">
      <w:pPr>
        <w:adjustRightInd w:val="0"/>
        <w:snapToGrid w:val="0"/>
        <w:jc w:val="center"/>
        <w:rPr>
          <w:rFonts w:ascii="方正大标宋简体" w:eastAsia="方正大标宋简体" w:hAnsi="仿宋"/>
          <w:sz w:val="40"/>
          <w:szCs w:val="40"/>
        </w:rPr>
      </w:pPr>
    </w:p>
    <w:p w:rsidR="005C6D85" w:rsidRDefault="00401909" w:rsidP="00401909">
      <w:pPr>
        <w:adjustRightInd w:val="0"/>
        <w:snapToGrid w:val="0"/>
        <w:spacing w:line="580" w:lineRule="exact"/>
        <w:jc w:val="center"/>
        <w:rPr>
          <w:rFonts w:ascii="方正大标宋简体" w:eastAsia="方正大标宋简体" w:hAnsi="仿宋"/>
          <w:sz w:val="40"/>
          <w:szCs w:val="40"/>
        </w:rPr>
      </w:pPr>
      <w:r>
        <w:rPr>
          <w:rFonts w:ascii="方正大标宋简体" w:eastAsia="方正大标宋简体" w:hAnsi="仿宋" w:hint="eastAsia"/>
          <w:sz w:val="40"/>
          <w:szCs w:val="40"/>
        </w:rPr>
        <w:t>关于发布</w:t>
      </w:r>
      <w:r w:rsidR="00D14C6B" w:rsidRPr="00D14C6B">
        <w:rPr>
          <w:rFonts w:ascii="方正大标宋简体" w:eastAsia="方正大标宋简体" w:hAnsi="仿宋" w:hint="eastAsia"/>
          <w:sz w:val="40"/>
          <w:szCs w:val="40"/>
        </w:rPr>
        <w:t>2019年度电力勘测设计行业（省级及以上设计单位）同业对标标杆指标汇总信息</w:t>
      </w:r>
      <w:r>
        <w:rPr>
          <w:rFonts w:ascii="方正大标宋简体" w:eastAsia="方正大标宋简体" w:hAnsi="仿宋" w:hint="eastAsia"/>
          <w:sz w:val="40"/>
          <w:szCs w:val="40"/>
        </w:rPr>
        <w:t>的通知</w:t>
      </w:r>
    </w:p>
    <w:p w:rsidR="00D14C6B" w:rsidRPr="00D14C6B" w:rsidRDefault="00D14C6B" w:rsidP="00D14C6B">
      <w:pPr>
        <w:spacing w:line="580" w:lineRule="exact"/>
        <w:jc w:val="center"/>
        <w:rPr>
          <w:rFonts w:ascii="方正大标宋简体" w:eastAsia="方正大标宋简体" w:hAnsi="仿宋"/>
          <w:sz w:val="40"/>
          <w:szCs w:val="40"/>
        </w:rPr>
      </w:pPr>
    </w:p>
    <w:p w:rsidR="00D14C6B" w:rsidRDefault="00D14C6B" w:rsidP="00D14C6B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D14C6B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572632" w:rsidRDefault="00572632" w:rsidP="00D14C6B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</w:t>
      </w:r>
      <w:r>
        <w:rPr>
          <w:rFonts w:ascii="仿宋_GB2312" w:eastAsia="仿宋_GB2312" w:hAnsi="仿宋"/>
          <w:sz w:val="32"/>
          <w:szCs w:val="32"/>
        </w:rPr>
        <w:t>电力勘测设计行业（</w:t>
      </w:r>
      <w:r>
        <w:rPr>
          <w:rFonts w:ascii="仿宋_GB2312" w:eastAsia="仿宋_GB2312" w:hAnsi="仿宋" w:hint="eastAsia"/>
          <w:sz w:val="32"/>
          <w:szCs w:val="32"/>
        </w:rPr>
        <w:t>省级及以上设计单位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同业对标</w:t>
      </w:r>
      <w:r>
        <w:rPr>
          <w:rFonts w:ascii="仿宋_GB2312" w:eastAsia="仿宋_GB2312" w:hAnsi="仿宋"/>
          <w:sz w:val="32"/>
          <w:szCs w:val="32"/>
        </w:rPr>
        <w:t>标杆指标信息已完成汇总工作，现由中国电力规划设计协会发布。请</w:t>
      </w:r>
      <w:r>
        <w:rPr>
          <w:rFonts w:ascii="仿宋_GB2312" w:eastAsia="仿宋_GB2312" w:hAnsi="仿宋" w:hint="eastAsia"/>
          <w:sz w:val="32"/>
          <w:szCs w:val="32"/>
        </w:rPr>
        <w:t>各</w:t>
      </w:r>
      <w:r>
        <w:rPr>
          <w:rFonts w:ascii="仿宋_GB2312" w:eastAsia="仿宋_GB2312" w:hAnsi="仿宋"/>
          <w:sz w:val="32"/>
          <w:szCs w:val="32"/>
        </w:rPr>
        <w:t>有关单位在协会网站（</w:t>
      </w:r>
      <w:r>
        <w:rPr>
          <w:rFonts w:ascii="仿宋_GB2312" w:eastAsia="仿宋_GB2312" w:hAnsi="仿宋" w:hint="eastAsia"/>
          <w:sz w:val="32"/>
          <w:szCs w:val="32"/>
        </w:rPr>
        <w:t>网址</w:t>
      </w:r>
      <w:r>
        <w:rPr>
          <w:rFonts w:ascii="仿宋_GB2312" w:eastAsia="仿宋_GB2312" w:hAnsi="仿宋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www.ceppea.net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上</w:t>
      </w:r>
      <w:r>
        <w:rPr>
          <w:rFonts w:ascii="仿宋_GB2312" w:eastAsia="仿宋_GB2312" w:hAnsi="仿宋"/>
          <w:sz w:val="32"/>
          <w:szCs w:val="32"/>
        </w:rPr>
        <w:t>查阅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年度</w:t>
      </w:r>
      <w:r>
        <w:rPr>
          <w:rFonts w:ascii="仿宋_GB2312" w:eastAsia="仿宋_GB2312" w:hAnsi="仿宋"/>
          <w:sz w:val="32"/>
          <w:szCs w:val="32"/>
        </w:rPr>
        <w:t>电力勘测设计行业</w:t>
      </w:r>
      <w:r>
        <w:rPr>
          <w:rFonts w:ascii="仿宋_GB2312" w:eastAsia="仿宋_GB2312" w:hAnsi="仿宋" w:hint="eastAsia"/>
          <w:sz w:val="32"/>
          <w:szCs w:val="32"/>
        </w:rPr>
        <w:t>（省级</w:t>
      </w:r>
      <w:r>
        <w:rPr>
          <w:rFonts w:ascii="仿宋_GB2312" w:eastAsia="仿宋_GB2312" w:hAnsi="仿宋"/>
          <w:sz w:val="32"/>
          <w:szCs w:val="32"/>
        </w:rPr>
        <w:t>及以上</w:t>
      </w:r>
      <w:r>
        <w:rPr>
          <w:rFonts w:ascii="仿宋_GB2312" w:eastAsia="仿宋_GB2312" w:hAnsi="仿宋" w:hint="eastAsia"/>
          <w:sz w:val="32"/>
          <w:szCs w:val="32"/>
        </w:rPr>
        <w:t>设计单位）同业对标</w:t>
      </w:r>
      <w:r>
        <w:rPr>
          <w:rFonts w:ascii="仿宋_GB2312" w:eastAsia="仿宋_GB2312" w:hAnsi="仿宋"/>
          <w:sz w:val="32"/>
          <w:szCs w:val="32"/>
        </w:rPr>
        <w:t>标杆指标汇总信息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572632" w:rsidRDefault="00572632" w:rsidP="00401909">
      <w:pPr>
        <w:adjustRightInd w:val="0"/>
        <w:snapToGrid w:val="0"/>
        <w:spacing w:beforeLines="50" w:before="156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年度</w:t>
      </w:r>
      <w:r>
        <w:rPr>
          <w:rFonts w:ascii="仿宋_GB2312" w:eastAsia="仿宋_GB2312" w:hAnsi="仿宋"/>
          <w:sz w:val="32"/>
          <w:szCs w:val="32"/>
        </w:rPr>
        <w:t>电力勘测设计行业</w:t>
      </w:r>
      <w:r>
        <w:rPr>
          <w:rFonts w:ascii="仿宋_GB2312" w:eastAsia="仿宋_GB2312" w:hAnsi="仿宋" w:hint="eastAsia"/>
          <w:sz w:val="32"/>
          <w:szCs w:val="32"/>
        </w:rPr>
        <w:t>（省级及以上设计单位）</w:t>
      </w:r>
    </w:p>
    <w:p w:rsidR="00572632" w:rsidRDefault="00572632" w:rsidP="00D14C6B">
      <w:pPr>
        <w:adjustRightInd w:val="0"/>
        <w:snapToGrid w:val="0"/>
        <w:spacing w:line="520" w:lineRule="exact"/>
        <w:ind w:firstLineChars="472" w:firstLine="151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同业对标标杆指标汇总信息</w:t>
      </w:r>
    </w:p>
    <w:p w:rsidR="00850C79" w:rsidRDefault="00850C79" w:rsidP="00850C7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（此页无正文）</w:t>
      </w:r>
    </w:p>
    <w:p w:rsidR="00572632" w:rsidRPr="00850C79" w:rsidRDefault="00572632">
      <w:pPr>
        <w:adjustRightInd w:val="0"/>
        <w:snapToGrid w:val="0"/>
        <w:spacing w:line="580" w:lineRule="exact"/>
        <w:ind w:firstLineChars="450" w:firstLine="144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D14C6B" w:rsidRPr="00D14C6B" w:rsidRDefault="00D14C6B" w:rsidP="00D14C6B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 w:rsidRPr="00D14C6B">
        <w:rPr>
          <w:rFonts w:ascii="仿宋_GB2312" w:eastAsia="仿宋_GB2312" w:hAnsi="仿宋" w:hint="eastAsia"/>
          <w:sz w:val="32"/>
          <w:szCs w:val="32"/>
        </w:rPr>
        <w:t>中国电力规划设计协会</w:t>
      </w:r>
    </w:p>
    <w:p w:rsidR="00572632" w:rsidRDefault="00D14C6B" w:rsidP="00D14C6B">
      <w:pPr>
        <w:adjustRightInd w:val="0"/>
        <w:snapToGrid w:val="0"/>
        <w:spacing w:line="580" w:lineRule="exact"/>
        <w:ind w:firstLineChars="1350" w:firstLine="4320"/>
        <w:rPr>
          <w:rFonts w:ascii="仿宋_GB2312" w:eastAsia="仿宋_GB2312" w:hAnsi="仿宋"/>
          <w:sz w:val="32"/>
          <w:szCs w:val="32"/>
        </w:rPr>
      </w:pPr>
      <w:r w:rsidRPr="00D14C6B">
        <w:rPr>
          <w:rFonts w:ascii="仿宋_GB2312" w:eastAsia="仿宋_GB2312" w:hAnsi="仿宋" w:hint="eastAsia"/>
          <w:sz w:val="32"/>
          <w:szCs w:val="32"/>
        </w:rPr>
        <w:t>2020年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D14C6B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D14C6B">
        <w:rPr>
          <w:rFonts w:ascii="仿宋_GB2312" w:eastAsia="仿宋_GB2312" w:hAnsi="仿宋" w:hint="eastAsia"/>
          <w:sz w:val="32"/>
          <w:szCs w:val="32"/>
        </w:rPr>
        <w:t xml:space="preserve">日   </w:t>
      </w:r>
    </w:p>
    <w:p w:rsidR="00572632" w:rsidRPr="00CF152D" w:rsidRDefault="00572632">
      <w:pPr>
        <w:rPr>
          <w:rFonts w:ascii="黑体" w:eastAsia="黑体" w:hAnsi="Times New Roman"/>
          <w:sz w:val="32"/>
          <w:szCs w:val="32"/>
        </w:rPr>
      </w:pPr>
      <w:r>
        <w:rPr>
          <w:sz w:val="28"/>
          <w:szCs w:val="28"/>
        </w:rPr>
        <w:br w:type="page"/>
      </w:r>
      <w:r w:rsidRPr="00CF152D">
        <w:rPr>
          <w:rFonts w:ascii="黑体" w:eastAsia="黑体" w:hAnsi="Times New Roman" w:hint="eastAsia"/>
          <w:sz w:val="32"/>
          <w:szCs w:val="32"/>
        </w:rPr>
        <w:lastRenderedPageBreak/>
        <w:t>附件</w:t>
      </w:r>
      <w:r w:rsidRPr="00CF152D">
        <w:rPr>
          <w:rFonts w:ascii="黑体" w:eastAsia="黑体" w:hAnsi="Times New Roman"/>
          <w:sz w:val="32"/>
          <w:szCs w:val="32"/>
        </w:rPr>
        <w:t>：</w:t>
      </w:r>
    </w:p>
    <w:p w:rsidR="00572632" w:rsidRDefault="00572632"/>
    <w:p w:rsidR="00572632" w:rsidRDefault="00572632"/>
    <w:p w:rsidR="00572632" w:rsidRPr="00CF152D" w:rsidRDefault="00572632" w:rsidP="00401909">
      <w:pPr>
        <w:snapToGrid w:val="0"/>
        <w:spacing w:beforeLines="50" w:before="156"/>
        <w:jc w:val="center"/>
        <w:rPr>
          <w:rFonts w:ascii="方正大标宋简体" w:eastAsia="方正大标宋简体" w:hAnsi="Times New Roman"/>
          <w:sz w:val="44"/>
          <w:szCs w:val="36"/>
        </w:rPr>
      </w:pPr>
      <w:r w:rsidRPr="00CF152D">
        <w:rPr>
          <w:rFonts w:ascii="方正大标宋简体" w:eastAsia="方正大标宋简体" w:hAnsi="Times New Roman" w:hint="eastAsia"/>
          <w:sz w:val="44"/>
          <w:szCs w:val="36"/>
        </w:rPr>
        <w:t>201</w:t>
      </w:r>
      <w:r w:rsidRPr="00CF152D">
        <w:rPr>
          <w:rFonts w:ascii="方正大标宋简体" w:eastAsia="方正大标宋简体" w:hAnsi="Times New Roman"/>
          <w:sz w:val="44"/>
          <w:szCs w:val="36"/>
        </w:rPr>
        <w:t>9</w:t>
      </w:r>
      <w:r w:rsidRPr="00CF152D">
        <w:rPr>
          <w:rFonts w:ascii="方正大标宋简体" w:eastAsia="方正大标宋简体" w:hAnsi="Times New Roman" w:hint="eastAsia"/>
          <w:sz w:val="44"/>
          <w:szCs w:val="36"/>
        </w:rPr>
        <w:t>年度</w:t>
      </w:r>
      <w:r w:rsidRPr="00CF152D">
        <w:rPr>
          <w:rFonts w:ascii="方正大标宋简体" w:eastAsia="方正大标宋简体" w:hAnsi="Times New Roman"/>
          <w:sz w:val="44"/>
          <w:szCs w:val="36"/>
        </w:rPr>
        <w:t>电力勘测设计行业</w:t>
      </w:r>
    </w:p>
    <w:p w:rsidR="00572632" w:rsidRPr="00CF152D" w:rsidRDefault="00572632" w:rsidP="00401909">
      <w:pPr>
        <w:snapToGrid w:val="0"/>
        <w:spacing w:beforeLines="50" w:before="156"/>
        <w:jc w:val="center"/>
        <w:rPr>
          <w:rFonts w:ascii="方正大标宋简体" w:eastAsia="方正大标宋简体" w:hAnsi="Times New Roman"/>
          <w:sz w:val="44"/>
          <w:szCs w:val="36"/>
        </w:rPr>
      </w:pPr>
      <w:r w:rsidRPr="00CF152D">
        <w:rPr>
          <w:rFonts w:ascii="方正大标宋简体" w:eastAsia="方正大标宋简体" w:hAnsi="Times New Roman" w:hint="eastAsia"/>
          <w:sz w:val="44"/>
          <w:szCs w:val="36"/>
        </w:rPr>
        <w:t>（省级及以上设计单位）同业对标</w:t>
      </w:r>
    </w:p>
    <w:p w:rsidR="00572632" w:rsidRPr="00CF152D" w:rsidRDefault="00572632" w:rsidP="00401909">
      <w:pPr>
        <w:snapToGrid w:val="0"/>
        <w:spacing w:beforeLines="50" w:before="156"/>
        <w:jc w:val="center"/>
        <w:rPr>
          <w:rFonts w:ascii="方正大标宋简体" w:eastAsia="方正大标宋简体" w:hAnsi="Times New Roman"/>
          <w:sz w:val="44"/>
          <w:szCs w:val="36"/>
        </w:rPr>
      </w:pPr>
      <w:r w:rsidRPr="00CF152D">
        <w:rPr>
          <w:rFonts w:ascii="方正大标宋简体" w:eastAsia="方正大标宋简体" w:hAnsi="Times New Roman" w:hint="eastAsia"/>
          <w:sz w:val="44"/>
          <w:szCs w:val="36"/>
        </w:rPr>
        <w:t>标杆指标汇总信息</w:t>
      </w:r>
    </w:p>
    <w:p w:rsidR="00572632" w:rsidRPr="00CF152D" w:rsidRDefault="00572632" w:rsidP="00401909">
      <w:pPr>
        <w:snapToGrid w:val="0"/>
        <w:spacing w:beforeLines="50" w:before="156"/>
        <w:jc w:val="center"/>
        <w:rPr>
          <w:rFonts w:ascii="方正大标宋简体" w:eastAsia="方正大标宋简体" w:hAnsi="Times New Roman"/>
          <w:sz w:val="44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Default="00572632">
      <w:pPr>
        <w:jc w:val="center"/>
        <w:rPr>
          <w:b/>
          <w:sz w:val="36"/>
          <w:szCs w:val="36"/>
        </w:rPr>
      </w:pPr>
    </w:p>
    <w:p w:rsidR="00572632" w:rsidRPr="00CF152D" w:rsidRDefault="00572632">
      <w:pPr>
        <w:jc w:val="center"/>
        <w:rPr>
          <w:rFonts w:ascii="黑体" w:eastAsia="黑体" w:hAnsi="Times New Roman"/>
          <w:sz w:val="32"/>
          <w:szCs w:val="32"/>
        </w:rPr>
      </w:pPr>
      <w:r w:rsidRPr="00CF152D">
        <w:rPr>
          <w:rFonts w:ascii="黑体" w:eastAsia="黑体" w:hAnsi="Times New Roman" w:hint="eastAsia"/>
          <w:sz w:val="32"/>
          <w:szCs w:val="32"/>
        </w:rPr>
        <w:t>中国电力规划设计协会</w:t>
      </w:r>
    </w:p>
    <w:p w:rsidR="00572632" w:rsidRPr="00CF152D" w:rsidRDefault="00915609">
      <w:pPr>
        <w:jc w:val="center"/>
        <w:rPr>
          <w:rFonts w:ascii="黑体" w:eastAsia="黑体" w:hAnsi="Times New Roman"/>
          <w:sz w:val="32"/>
          <w:szCs w:val="32"/>
        </w:rPr>
      </w:pPr>
      <w:r w:rsidRPr="00CF152D">
        <w:rPr>
          <w:rFonts w:ascii="黑体" w:eastAsia="黑体" w:hAnsi="Times New Roman" w:hint="eastAsia"/>
          <w:sz w:val="32"/>
          <w:szCs w:val="32"/>
        </w:rPr>
        <w:t>2020年</w:t>
      </w:r>
      <w:r>
        <w:rPr>
          <w:rFonts w:ascii="黑体" w:eastAsia="黑体" w:hAnsi="Times New Roman"/>
          <w:sz w:val="32"/>
          <w:szCs w:val="32"/>
        </w:rPr>
        <w:t>5</w:t>
      </w:r>
      <w:r w:rsidR="00572632" w:rsidRPr="00CF152D">
        <w:rPr>
          <w:rFonts w:ascii="黑体" w:eastAsia="黑体" w:hAnsi="Times New Roman" w:hint="eastAsia"/>
          <w:sz w:val="32"/>
          <w:szCs w:val="32"/>
        </w:rPr>
        <w:t>月</w:t>
      </w:r>
    </w:p>
    <w:p w:rsidR="00572632" w:rsidRPr="00CF152D" w:rsidRDefault="00572632" w:rsidP="00CF152D">
      <w:pPr>
        <w:snapToGrid w:val="0"/>
        <w:jc w:val="center"/>
        <w:rPr>
          <w:rFonts w:ascii="方正大标宋简体" w:eastAsia="方正大标宋简体" w:hAnsi="Times New Roman"/>
          <w:sz w:val="40"/>
          <w:szCs w:val="36"/>
        </w:rPr>
      </w:pPr>
      <w:r>
        <w:rPr>
          <w:b/>
          <w:sz w:val="36"/>
          <w:szCs w:val="36"/>
        </w:rPr>
        <w:br w:type="page"/>
      </w:r>
      <w:r w:rsidRPr="00CF152D">
        <w:rPr>
          <w:rFonts w:ascii="方正大标宋简体" w:eastAsia="方正大标宋简体" w:hAnsi="Times New Roman" w:hint="eastAsia"/>
          <w:sz w:val="40"/>
          <w:szCs w:val="36"/>
        </w:rPr>
        <w:lastRenderedPageBreak/>
        <w:t>201</w:t>
      </w:r>
      <w:r w:rsidRPr="00CF152D">
        <w:rPr>
          <w:rFonts w:ascii="方正大标宋简体" w:eastAsia="方正大标宋简体" w:hAnsi="Times New Roman"/>
          <w:sz w:val="40"/>
          <w:szCs w:val="36"/>
        </w:rPr>
        <w:t>9</w:t>
      </w:r>
      <w:r w:rsidRPr="00CF152D">
        <w:rPr>
          <w:rFonts w:ascii="方正大标宋简体" w:eastAsia="方正大标宋简体" w:hAnsi="Times New Roman" w:hint="eastAsia"/>
          <w:sz w:val="40"/>
          <w:szCs w:val="36"/>
        </w:rPr>
        <w:t>年度电力勘测设计行业（省级及以上设计单位）</w:t>
      </w:r>
    </w:p>
    <w:p w:rsidR="00572632" w:rsidRPr="00CF152D" w:rsidRDefault="00572632" w:rsidP="00CF152D">
      <w:pPr>
        <w:snapToGrid w:val="0"/>
        <w:jc w:val="center"/>
        <w:rPr>
          <w:rFonts w:ascii="方正大标宋简体" w:eastAsia="方正大标宋简体" w:hAnsi="Times New Roman"/>
          <w:sz w:val="40"/>
          <w:szCs w:val="36"/>
        </w:rPr>
      </w:pPr>
      <w:r w:rsidRPr="00CF152D">
        <w:rPr>
          <w:rFonts w:ascii="方正大标宋简体" w:eastAsia="方正大标宋简体" w:hAnsi="Times New Roman" w:hint="eastAsia"/>
          <w:sz w:val="40"/>
          <w:szCs w:val="36"/>
        </w:rPr>
        <w:t>同业对标标杆指标发布说明</w:t>
      </w:r>
    </w:p>
    <w:p w:rsidR="00572632" w:rsidRDefault="00572632">
      <w:pPr>
        <w:spacing w:line="360" w:lineRule="auto"/>
        <w:ind w:firstLineChars="200" w:firstLine="560"/>
        <w:rPr>
          <w:sz w:val="28"/>
          <w:szCs w:val="28"/>
        </w:rPr>
      </w:pPr>
    </w:p>
    <w:p w:rsidR="00572632" w:rsidRDefault="005726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同业对标是一种称为标杆管理的方法，即将相同企业生产经营实现的结果指标进行统一处理，形成一套公开发布的具有标杆值的指标体系，从而使企业得到不断改进，在竞争中实现自我发展的目标。</w:t>
      </w:r>
    </w:p>
    <w:p w:rsidR="00572632" w:rsidRDefault="0057263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电力勘测设计行业同业对标工作在中国电力规划设计协会领导下，从2005年开始了省区电力设计院的同业对标指标体系建设、数据收集、整理和发布工作，目前已发布了2002—201</w:t>
      </w:r>
      <w:r>
        <w:rPr>
          <w:rFonts w:ascii="仿宋" w:eastAsia="仿宋" w:hAnsi="仿宋"/>
          <w:bCs/>
          <w:sz w:val="32"/>
          <w:szCs w:val="32"/>
        </w:rPr>
        <w:t>8</w:t>
      </w:r>
      <w:r>
        <w:rPr>
          <w:rFonts w:ascii="仿宋" w:eastAsia="仿宋" w:hAnsi="仿宋" w:hint="eastAsia"/>
          <w:bCs/>
          <w:sz w:val="32"/>
          <w:szCs w:val="32"/>
        </w:rPr>
        <w:t>年各年的省区院同业对标结果，为各院寻找差距追求卓越，实现可持续发展提供了权威的理论数据，对行业的发展起了较强的引领作用。</w:t>
      </w:r>
    </w:p>
    <w:p w:rsidR="00572632" w:rsidRDefault="0057263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2017年根据国家标准《卓越绩效评价准则》2012版评价内容，以及电力勘测设计行业内外部环境变化和各院生产经营实际，对旧版“电力勘测设计行业（省级及以上甲级院）标杆指标”体系进行了修改完善。201</w:t>
      </w:r>
      <w:r>
        <w:rPr>
          <w:rFonts w:ascii="仿宋" w:eastAsia="仿宋" w:hAnsi="仿宋"/>
          <w:bCs/>
          <w:sz w:val="32"/>
          <w:szCs w:val="32"/>
        </w:rPr>
        <w:t>9</w:t>
      </w:r>
      <w:r>
        <w:rPr>
          <w:rFonts w:ascii="仿宋" w:eastAsia="仿宋" w:hAnsi="仿宋" w:hint="eastAsia"/>
          <w:bCs/>
          <w:sz w:val="32"/>
          <w:szCs w:val="32"/>
        </w:rPr>
        <w:t>版同业对标指标体系根据国家标准GB/T 19580-2012《卓越绩效评价准则》和GB/T 19579-2012《卓越绩效评价准则指南》，分为产品与服务、顾客与市场、财务、资源、过程、领导6个方面，指标为</w:t>
      </w:r>
      <w:r>
        <w:rPr>
          <w:rFonts w:ascii="仿宋" w:eastAsia="仿宋" w:hAnsi="仿宋"/>
          <w:bCs/>
          <w:sz w:val="32"/>
          <w:szCs w:val="32"/>
        </w:rPr>
        <w:t>120</w:t>
      </w:r>
      <w:r>
        <w:rPr>
          <w:rFonts w:ascii="仿宋" w:eastAsia="仿宋" w:hAnsi="仿宋" w:hint="eastAsia"/>
          <w:bCs/>
          <w:sz w:val="32"/>
          <w:szCs w:val="32"/>
        </w:rPr>
        <w:t>个。统计范围为行业内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省级及以上甲级火电设计单位。</w:t>
      </w:r>
    </w:p>
    <w:p w:rsidR="00572632" w:rsidRDefault="0057263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在指标体系中大部分的标杆指标提供3种值，即最高值、前25%平均值和平均值。提供这3种指标值，可以为各电力勘测设计企业研究、对照和确定本院的具体指标位置创造条件。有少数指标或数据偏少不好统计，或不宜采用前述的3种指标值统计等原因，采用了其它表达方式。如“产品和服务”指标中的“火电初设1000MW”等指标，由于涉及该项目的单位较少，采用了“最高值”、“行业总值”和“从事该项目的设计院个数”三个等级表达。对部分不具有标杆意义的指标，如财务指标中的资产负债率，人力资源指标中的从业人数、人员结构等，采用了平均值计算，与标杆指标一起发布。</w:t>
      </w:r>
    </w:p>
    <w:p w:rsidR="00572632" w:rsidRPr="005C6D85" w:rsidRDefault="00572632" w:rsidP="005C6D85">
      <w:pPr>
        <w:spacing w:line="360" w:lineRule="auto"/>
        <w:ind w:firstLineChars="200" w:firstLine="656"/>
        <w:rPr>
          <w:rFonts w:ascii="仿宋" w:eastAsia="仿宋" w:hAnsi="仿宋"/>
          <w:bCs/>
          <w:spacing w:val="4"/>
          <w:sz w:val="32"/>
          <w:szCs w:val="32"/>
        </w:rPr>
      </w:pPr>
      <w:r w:rsidRPr="005C6D85">
        <w:rPr>
          <w:rFonts w:ascii="仿宋" w:eastAsia="仿宋" w:hAnsi="仿宋" w:hint="eastAsia"/>
          <w:bCs/>
          <w:spacing w:val="4"/>
          <w:sz w:val="32"/>
          <w:szCs w:val="32"/>
        </w:rPr>
        <w:t>按照中国电力规划设计协会年度工作安排，现已完成201</w:t>
      </w:r>
      <w:r w:rsidRPr="005C6D85">
        <w:rPr>
          <w:rFonts w:ascii="仿宋" w:eastAsia="仿宋" w:hAnsi="仿宋"/>
          <w:bCs/>
          <w:spacing w:val="4"/>
          <w:sz w:val="32"/>
          <w:szCs w:val="32"/>
        </w:rPr>
        <w:t>9</w:t>
      </w:r>
      <w:r w:rsidRPr="005C6D85">
        <w:rPr>
          <w:rFonts w:ascii="仿宋" w:eastAsia="仿宋" w:hAnsi="仿宋" w:hint="eastAsia"/>
          <w:bCs/>
          <w:spacing w:val="4"/>
          <w:sz w:val="32"/>
          <w:szCs w:val="32"/>
        </w:rPr>
        <w:t>年度省级及以上设计单位同业对标指标信息的采集汇总，予以发布。</w:t>
      </w:r>
    </w:p>
    <w:p w:rsidR="00572632" w:rsidRDefault="00572632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本次的标杆指标统计工作共收集了全国省级及以上4</w:t>
      </w:r>
      <w:r>
        <w:rPr>
          <w:rFonts w:ascii="仿宋" w:eastAsia="仿宋" w:hAnsi="仿宋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个设计单位的结果数据，总体反映了电力勘测设计行业省级及以上设计单位的标杆水平。</w:t>
      </w:r>
    </w:p>
    <w:p w:rsidR="00572632" w:rsidRPr="005C6D85" w:rsidRDefault="00572632">
      <w:pPr>
        <w:spacing w:line="360" w:lineRule="auto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5C6D85">
        <w:rPr>
          <w:rFonts w:ascii="方正大标宋简体" w:eastAsia="方正大标宋简体" w:hint="eastAsia"/>
          <w:sz w:val="36"/>
          <w:szCs w:val="36"/>
        </w:rPr>
        <w:lastRenderedPageBreak/>
        <w:t>2019年度电力勘测设计行业（省级及以上设计单位）</w:t>
      </w:r>
    </w:p>
    <w:p w:rsidR="00572632" w:rsidRPr="005C6D85" w:rsidRDefault="00572632">
      <w:pPr>
        <w:spacing w:line="360" w:lineRule="auto"/>
        <w:jc w:val="center"/>
        <w:rPr>
          <w:rFonts w:ascii="方正大标宋简体" w:eastAsia="方正大标宋简体"/>
          <w:sz w:val="36"/>
          <w:szCs w:val="36"/>
        </w:rPr>
      </w:pPr>
      <w:r w:rsidRPr="005C6D85">
        <w:rPr>
          <w:rFonts w:ascii="方正大标宋简体" w:eastAsia="方正大标宋简体" w:hint="eastAsia"/>
          <w:sz w:val="36"/>
          <w:szCs w:val="36"/>
        </w:rPr>
        <w:t>同业对标标杆指标汇总表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3035"/>
        <w:gridCol w:w="1069"/>
      </w:tblGrid>
      <w:tr w:rsidR="00572632" w:rsidRPr="005C6D85" w:rsidTr="005C6D85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FFFF00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1. 产品和服务指标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DDEBF7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 发电产品和服务指标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1.1.1发电初可研总容量（MW）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13300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6773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910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1.1.2火电可研1000MW（MW）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4000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14000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从事该项目的设计院个数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1.1.3火电可研600MW（MW）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6600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18120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从事该项目的设计院个数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1.1.4火电可研300MW（MW）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1160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122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1.1.5火电可研200MW及以下（MW）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1950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1499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198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1.1.6核电可研（MW）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1.1.7新能源可研（MW）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5011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1927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507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1.1.8火电初设1000MW（MW）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4000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6000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从事该项目的设计院个数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1.1.9火电初设600MW（MW）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5280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5220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457</w:t>
            </w:r>
          </w:p>
        </w:tc>
      </w:tr>
    </w:tbl>
    <w:p w:rsidR="00572632" w:rsidRDefault="00572632"/>
    <w:p w:rsidR="00572632" w:rsidRDefault="005726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193"/>
        <w:gridCol w:w="1067"/>
      </w:tblGrid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1.1.10火电初设300MW（MW）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1800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221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1.1.11火电初设200MW及以下（MW）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847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682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142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1.1.12核电初设（MW）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4000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4000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1.1.13新能源初设（MW）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3568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1383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232.47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1.1.14火电施设1000MW（MW）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4000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8000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从事该项目的设计院个数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1.1.15火电施设600MW（MW）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3840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2580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297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1.1.16火电施设300MW（MW）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2100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1730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362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1.1.17火电施设200MW及以下（MW）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850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665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140.60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1.1.18核电施设（MW）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2000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1.1.19新能源施设（MW）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4671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1305</w:t>
            </w:r>
          </w:p>
        </w:tc>
      </w:tr>
      <w:tr w:rsidR="00572632" w:rsidRPr="005C6D85" w:rsidTr="005C6D85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355</w:t>
            </w:r>
          </w:p>
        </w:tc>
      </w:tr>
    </w:tbl>
    <w:p w:rsidR="00572632" w:rsidRDefault="005726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193"/>
        <w:gridCol w:w="1067"/>
      </w:tblGrid>
      <w:tr w:rsidR="00572632" w:rsidRPr="005C6D85" w:rsidTr="005C6D85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DDEBF7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 电网产品和服务指标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1.2.1送电初设750kV及以上（km）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1090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658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134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1.2.2送电初设500kV级（km）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1404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810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191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1.2.3送电初设330kV及以下（km）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1616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865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304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1.2.4送电施设750kV及以上（km）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515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417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1.2.5送电施设500kV级（km）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976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783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239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1.2.6送电施设330kV及以下（km）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2228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1165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373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1.2.7变电初设750kV及以上（MVA）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16000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66950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从事该项目的设计院个数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1.2.8变电初设500kV级（MVA）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9990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6788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1952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1.2.9变电初设330kV及以下（MVA）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6570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4381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1622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1.2.10变电施设750kV及以上（MVA）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13000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/>
                <w:szCs w:val="21"/>
              </w:rPr>
              <w:t>486</w:t>
            </w: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从事该项目的设计院个数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</w:tbl>
    <w:p w:rsidR="00572632" w:rsidRDefault="00572632"/>
    <w:p w:rsidR="00572632" w:rsidRDefault="005726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193"/>
        <w:gridCol w:w="1067"/>
      </w:tblGrid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1.2.11变电施设500kV级（MVA）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13400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/>
                <w:szCs w:val="21"/>
              </w:rPr>
              <w:t>7840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/>
                <w:szCs w:val="21"/>
              </w:rPr>
              <w:t>1770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1.2.12变电施设330kV及以下（MVA）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/>
                <w:szCs w:val="21"/>
              </w:rPr>
              <w:t>9960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/>
                <w:szCs w:val="21"/>
              </w:rPr>
              <w:t>5880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5C6D85">
              <w:rPr>
                <w:rFonts w:asciiTheme="minorEastAsia" w:eastAsiaTheme="minorEastAsia" w:hAnsiTheme="minorEastAsia"/>
                <w:szCs w:val="21"/>
              </w:rPr>
              <w:t>41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FFFF00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2. 顾客和市场指标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2.1总产值（万元）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149568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102027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50846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2.2勘测设计及咨询产值（万元）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126762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84886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39547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2.3发电勘测设计咨询产值（万元）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56960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34339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12677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2.4电网勘测设计咨询产值（万元）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51909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38806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19778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2.5总承包产值（万元）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59790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23381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9882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2.6监理产值（万元）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11375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5011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1417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2.7总市场占有率（%）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7.2%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4.9%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2.4%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2.8勘测设计及咨询市场占有率（%）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7.8%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5.2%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2.4%</w:t>
            </w:r>
          </w:p>
        </w:tc>
      </w:tr>
    </w:tbl>
    <w:p w:rsidR="00572632" w:rsidRDefault="00572632"/>
    <w:p w:rsidR="00572632" w:rsidRDefault="00572632" w:rsidP="005C6D85">
      <w:pPr>
        <w:snapToGrid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193"/>
        <w:gridCol w:w="1067"/>
      </w:tblGrid>
      <w:tr w:rsidR="00572632" w:rsidRPr="005C6D85" w:rsidTr="005C6D85">
        <w:trPr>
          <w:trHeight w:val="340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2.9总承包市场占有率（%）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14.8%</w:t>
            </w:r>
          </w:p>
        </w:tc>
      </w:tr>
      <w:tr w:rsidR="00572632" w:rsidRPr="005C6D85" w:rsidTr="005C6D85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5.8%</w:t>
            </w:r>
          </w:p>
        </w:tc>
      </w:tr>
      <w:tr w:rsidR="00572632" w:rsidRPr="005C6D85" w:rsidTr="005C6D85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2.4%</w:t>
            </w:r>
          </w:p>
        </w:tc>
      </w:tr>
      <w:tr w:rsidR="00572632" w:rsidRPr="005C6D85" w:rsidTr="005C6D85">
        <w:trPr>
          <w:trHeight w:val="340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2.10监理市场占有率（%）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19.6%</w:t>
            </w:r>
          </w:p>
        </w:tc>
      </w:tr>
      <w:tr w:rsidR="00572632" w:rsidRPr="005C6D85" w:rsidTr="005C6D85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8.6%</w:t>
            </w:r>
          </w:p>
        </w:tc>
      </w:tr>
      <w:tr w:rsidR="00572632" w:rsidRPr="005C6D85" w:rsidTr="005C6D85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2.4%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2.11全员劳动生产率（万元/人）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131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105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68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2.12全年新签合同额（万元）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1636728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991822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406687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2.13全年新签勘测设计咨询合同额（万元）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120646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90221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43310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2.14全年新签发电勘测设计合同额（万元）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59913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36738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14831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2.15全年新签电网勘测设计合同额（万元）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74105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48224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24936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2.16全年新签总承包合同额（万元）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1521330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917080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388783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2.17全年新签监理合同额（万元）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18146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6780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4454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2.18全年新签国际合同额（万元）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969400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362520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157233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2.19全年新签非电合同额（万元）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1083725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202562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69791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FFFF00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3.财务指标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3.1营业收入（万元）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827883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479457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207212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3.2勘测设计咨询收入（万元）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143982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95017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44560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3.3总承包收入（万元）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730406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394686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157089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3.4监理收入（万元）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11375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5629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1586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3.5国际项目收入（万元）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135752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69465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21040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3.6人均营业收入</w:t>
            </w:r>
            <w:r w:rsidRPr="005C6D8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（万元/人）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/>
                <w:szCs w:val="21"/>
              </w:rPr>
              <w:t>702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605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291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3.7资产总额（万元）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2259521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737864</w:t>
            </w:r>
          </w:p>
        </w:tc>
      </w:tr>
      <w:tr w:rsidR="00572632" w:rsidRPr="005C6D85" w:rsidTr="005C6D85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333041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3.8利润总额（万元）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47004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27146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10312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3.9人均净利润（万元/人）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/>
                <w:szCs w:val="21"/>
              </w:rPr>
              <w:t>48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3.10资产负债率（%）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60%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3.11总资产报酬率（%）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19.29%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8.91%</w:t>
            </w:r>
          </w:p>
        </w:tc>
      </w:tr>
      <w:tr w:rsidR="00572632" w:rsidRPr="005C6D85" w:rsidTr="005C6D85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4.81%</w:t>
            </w:r>
          </w:p>
        </w:tc>
      </w:tr>
    </w:tbl>
    <w:p w:rsidR="00572632" w:rsidRDefault="00572632"/>
    <w:p w:rsidR="00572632" w:rsidRDefault="005726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193"/>
        <w:gridCol w:w="1067"/>
      </w:tblGrid>
      <w:tr w:rsidR="00572632" w:rsidRPr="005C6D85" w:rsidTr="004A62EA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3.12净资产收益率（%）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C6D85">
              <w:rPr>
                <w:rFonts w:asciiTheme="minorEastAsia" w:eastAsiaTheme="minorEastAsia" w:hAnsiTheme="minorEastAsia"/>
                <w:szCs w:val="21"/>
              </w:rPr>
              <w:t>2</w:t>
            </w:r>
            <w:r w:rsidRPr="005C6D85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16%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8%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3.13经济增加值（万元）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36407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21408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6944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3.14人均经济增加值（万元/人）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78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5000" w:type="pct"/>
            <w:gridSpan w:val="3"/>
            <w:shd w:val="clear" w:color="000000" w:fill="FFFF00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4. 资源指标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5000" w:type="pct"/>
            <w:gridSpan w:val="3"/>
            <w:shd w:val="clear" w:color="000000" w:fill="DDEBF7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 人力资源指标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4.1.1年均从业人数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31173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4.1.2其中：年末派遣从业人数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4172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4.1.3年末从业人数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31724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773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4.1.4其中：年均派遣从业人数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4722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115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4.1.5直接生产人员比例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77%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4.1.6管理岗位人员比例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20%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4.1.7学历结构大专人数比例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4.1.8学历结构大学本科人数比例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47%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4.1.9学历结构研究生及以上人数比例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39%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4.1.10专业技术职称结构初级职称人数比例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4.1.11专业技术职称结构中级职称人数比例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29%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4.1.12专业技术职称结构高级职称人数比例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36%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4.1.13专业技术职称结构教授级职称人数比例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4.1.14人均教育投入（元/人）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8818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4780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2349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4.1.15注册电气工程师人数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4.1.16一级注册建筑师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4.1.17一级注册结构师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69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4.1.18注册咨询工程师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142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48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4.1.19其他注册工程师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471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120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4.1.20注册师合计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679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235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DDEBF7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4.2 信息指标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4.2.1三维工程施工图建模数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4.2.2存储数据容量（GB）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103750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40259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12454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4.2.3信息化资金投入比例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3.68%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0.51%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4.2.4软件投入比例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100.00%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54.35%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DDEBF7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 技术指标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4.3.1当年获国家级勘测设计工程项目奖之和</w:t>
            </w:r>
          </w:p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4.3.2当年获国家级工程项目管理和总承包奖之和（项/院）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4.3.3当年获省级勘测设计工程项目奖之和</w:t>
            </w:r>
          </w:p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477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4.3.4当年获省级工程项目管理和总承包奖之和（项/院）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</w:tbl>
    <w:p w:rsidR="00572632" w:rsidRDefault="005726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3193"/>
        <w:gridCol w:w="1067"/>
      </w:tblGrid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4.3.5当年获国家级工程咨询成果奖之和（项/院）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4.3.6当年获省部级工程咨询成果奖之和（项/院）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4.3.7当年获国家级科技项目奖之和（项/院）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4.3.8当年获省级科技项目奖之和（项/院）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86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4.3.9当年省部级及以上QC获奖数（项/院）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43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行业获奖总数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179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获奖企业个数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4.3.10当年完成的主编行业及以上标准（项/院）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标准总数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编标企业个数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4.3.11当年完成的参编行业及以上标准（项/院）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4.3.12论文发表数（篇/院）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317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136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66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4.3.13拥有专利数量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843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专利企业个数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41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行业总专利数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7491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4.3.14其中：拥有发明专利数量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130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专利企业个数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37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行业总专利数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1123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4.3.15拥有专有技术数量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49</w:t>
            </w:r>
          </w:p>
        </w:tc>
      </w:tr>
      <w:tr w:rsidR="00572632" w:rsidRPr="005C6D85" w:rsidTr="004A62EA">
        <w:trPr>
          <w:trHeight w:val="340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专利企业个数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C6D85">
              <w:rPr>
                <w:rFonts w:asciiTheme="minorEastAsia" w:eastAsiaTheme="minorEastAsia" w:hAnsiTheme="minorEastAsia" w:hint="eastAsia"/>
                <w:szCs w:val="21"/>
              </w:rPr>
              <w:t>389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4.3.16拥有软件著作权数量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89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著作权企业个数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34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行业总数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949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4.3.17科标信项目直接投入比例（%）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9.0%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6.0%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4.0%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FFFF00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5. 过程指标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5.1人均新制出图量（标张/人）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183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143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89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5.2发电人均新制出图量（标张/人）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204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144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78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5.3电网人均新制出图量（标张/人）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292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219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145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5.4企业标准有效企业标准数量（项）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1256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224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FFFF00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6. 领导方面指标</w:t>
            </w:r>
          </w:p>
        </w:tc>
      </w:tr>
      <w:tr w:rsidR="00572632" w:rsidRPr="005C6D85" w:rsidTr="004A62EA">
        <w:trPr>
          <w:trHeight w:val="369"/>
          <w:jc w:val="center"/>
        </w:trPr>
        <w:tc>
          <w:tcPr>
            <w:tcW w:w="5000" w:type="pct"/>
            <w:gridSpan w:val="3"/>
            <w:shd w:val="clear" w:color="000000" w:fill="DDEBF7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6.1 战略目标完成指标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6.1.1新签合同年度同比增长率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275.70%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90.50%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21.70%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6.1.2营业收入年度同比增长率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108.30%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62.00%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10.00%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6.1.3利润总额年度同比增长率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219.80%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63.80%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-13.30%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5000" w:type="pct"/>
            <w:gridSpan w:val="3"/>
            <w:shd w:val="clear" w:color="000000" w:fill="DDEBF7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 组织治理和社会责任指标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 w:val="restart"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6.2.1合理化建议（件/院）</w:t>
            </w: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172</w:t>
            </w:r>
          </w:p>
        </w:tc>
      </w:tr>
      <w:tr w:rsidR="00572632" w:rsidRPr="005C6D85" w:rsidTr="004A62EA">
        <w:trPr>
          <w:trHeight w:val="397"/>
          <w:jc w:val="center"/>
        </w:trPr>
        <w:tc>
          <w:tcPr>
            <w:tcW w:w="2649" w:type="pct"/>
            <w:vMerge/>
            <w:vAlign w:val="center"/>
          </w:tcPr>
          <w:p w:rsidR="00572632" w:rsidRPr="005C6D85" w:rsidRDefault="00572632" w:rsidP="005C6D8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62" w:type="pct"/>
            <w:vAlign w:val="center"/>
          </w:tcPr>
          <w:p w:rsidR="00572632" w:rsidRPr="005C6D85" w:rsidRDefault="00572632" w:rsidP="005C6D85">
            <w:pPr>
              <w:snapToGrid w:val="0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 w:rsidP="005C6D85">
            <w:pPr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32</w:t>
            </w:r>
          </w:p>
        </w:tc>
      </w:tr>
    </w:tbl>
    <w:p w:rsidR="00572632" w:rsidRDefault="0057263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3035"/>
        <w:gridCol w:w="1069"/>
      </w:tblGrid>
      <w:tr w:rsidR="00572632" w:rsidRPr="005C6D85" w:rsidTr="004A62EA">
        <w:trPr>
          <w:trHeight w:val="402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6.2.2税赋总额（万元）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20273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前25%平均值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13140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6313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6.2.3社会贡献率（%）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44%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15%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6.2.4公益事业捐款总额（万元）</w:t>
            </w: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最高值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180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平均值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19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6.2.5“三标”体系认证</w:t>
            </w: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通过企业个数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41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通过率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100%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6.2.6</w:t>
            </w: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18"/>
              </w:rPr>
              <w:t>企业行业信用等级</w:t>
            </w: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3A通过企业个数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41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2A通过企业个数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1A通过企业个数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 w:val="restar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6.2.7企业商业诚信等级</w:t>
            </w: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3A通过企业个数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26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2A通过企业个数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844C8A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/>
              </w:rPr>
              <w:t>8</w:t>
            </w:r>
          </w:p>
        </w:tc>
      </w:tr>
      <w:tr w:rsidR="00572632" w:rsidRPr="005C6D85" w:rsidTr="004A62EA">
        <w:trPr>
          <w:trHeight w:val="402"/>
          <w:jc w:val="center"/>
        </w:trPr>
        <w:tc>
          <w:tcPr>
            <w:tcW w:w="2735" w:type="pct"/>
            <w:vMerge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1A通过企业个数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572632" w:rsidRPr="005C6D85" w:rsidTr="004A62EA">
        <w:trPr>
          <w:trHeight w:val="475"/>
          <w:jc w:val="center"/>
        </w:trPr>
        <w:tc>
          <w:tcPr>
            <w:tcW w:w="2735" w:type="pct"/>
            <w:vAlign w:val="center"/>
          </w:tcPr>
          <w:p w:rsidR="00572632" w:rsidRPr="005C6D85" w:rsidRDefault="0057263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6D8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6.2.8现保持省部级及以上文明单位的荣誉称号</w:t>
            </w:r>
          </w:p>
        </w:tc>
        <w:tc>
          <w:tcPr>
            <w:tcW w:w="1675" w:type="pct"/>
            <w:vAlign w:val="center"/>
          </w:tcPr>
          <w:p w:rsidR="00572632" w:rsidRPr="005C6D85" w:rsidRDefault="00572632">
            <w:pPr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保持该称号的设计院个数</w:t>
            </w:r>
          </w:p>
        </w:tc>
        <w:tc>
          <w:tcPr>
            <w:tcW w:w="590" w:type="pct"/>
            <w:vAlign w:val="center"/>
          </w:tcPr>
          <w:p w:rsidR="00572632" w:rsidRPr="005C6D85" w:rsidRDefault="00572632">
            <w:pPr>
              <w:jc w:val="right"/>
              <w:rPr>
                <w:rFonts w:asciiTheme="minorEastAsia" w:eastAsiaTheme="minorEastAsia" w:hAnsiTheme="minorEastAsia"/>
              </w:rPr>
            </w:pPr>
            <w:r w:rsidRPr="005C6D85">
              <w:rPr>
                <w:rFonts w:asciiTheme="minorEastAsia" w:eastAsiaTheme="minorEastAsia" w:hAnsiTheme="minorEastAsia" w:hint="eastAsia"/>
              </w:rPr>
              <w:t>25</w:t>
            </w:r>
          </w:p>
        </w:tc>
      </w:tr>
    </w:tbl>
    <w:p w:rsidR="00D14C6B" w:rsidRDefault="00D14C6B">
      <w:pPr>
        <w:rPr>
          <w:rFonts w:ascii="仿宋" w:eastAsia="仿宋" w:hAnsi="仿宋"/>
          <w:sz w:val="32"/>
          <w:szCs w:val="32"/>
        </w:rPr>
      </w:pPr>
    </w:p>
    <w:p w:rsidR="00D14C6B" w:rsidRDefault="00D14C6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572632" w:rsidRDefault="004B38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.05pt;margin-top:719.15pt;width:194.4pt;height:25.5pt;z-index:25166540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style="mso-next-textbox:#_x0000_s1036" inset="0,0,0,0">
              <w:txbxContent>
                <w:p w:rsidR="00D14C6B" w:rsidRDefault="00D14C6B" w:rsidP="00D14C6B">
                  <w:pPr>
                    <w:wordWrap w:val="0"/>
                    <w:jc w:val="lef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noProof/>
                      <w:sz w:val="28"/>
                      <w:szCs w:val="28"/>
                    </w:rPr>
                    <w:t>中国电力规划设计协会秘书处</w:t>
                  </w:r>
                </w:p>
                <w:p w:rsidR="00D14C6B" w:rsidRPr="00D14C6B" w:rsidRDefault="00D14C6B" w:rsidP="00D14C6B">
                  <w:pPr>
                    <w:wordWrap w:val="0"/>
                    <w:jc w:val="lef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Default="00D14C6B" w:rsidP="00D14C6B">
                  <w:pPr>
                    <w:wordWrap w:val="0"/>
                    <w:jc w:val="lef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Default="00D14C6B" w:rsidP="00D14C6B">
                  <w:pPr>
                    <w:wordWrap w:val="0"/>
                    <w:jc w:val="lef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Default="00D14C6B" w:rsidP="00D14C6B">
                  <w:pPr>
                    <w:wordWrap w:val="0"/>
                    <w:jc w:val="lef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Pr="00961E76" w:rsidRDefault="00D14C6B" w:rsidP="00D14C6B">
                  <w:pPr>
                    <w:wordWrap w:val="0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Text Box 274" o:spid="_x0000_s1034" type="#_x0000_t202" style="position:absolute;left:0;text-align:left;margin-left:240.55pt;margin-top:719.05pt;width:194.4pt;height:25.5pt;z-index:25166438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style="mso-next-textbox:#Text Box 274" inset="0,0,0,0">
              <w:txbxContent>
                <w:p w:rsidR="00D14C6B" w:rsidRDefault="00D14C6B" w:rsidP="00D14C6B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  <w:t>2020年</w:t>
                  </w:r>
                  <w:r>
                    <w:rPr>
                      <w:rFonts w:ascii="仿宋" w:eastAsia="仿宋" w:hAnsi="仿宋" w:hint="eastAsia"/>
                      <w:noProof/>
                      <w:sz w:val="28"/>
                      <w:szCs w:val="28"/>
                    </w:rPr>
                    <w:t>6</w:t>
                  </w:r>
                  <w:r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  <w:t>月</w:t>
                  </w:r>
                  <w:r>
                    <w:rPr>
                      <w:rFonts w:ascii="仿宋" w:eastAsia="仿宋" w:hAnsi="仿宋" w:hint="eastAsia"/>
                      <w:noProof/>
                      <w:sz w:val="28"/>
                      <w:szCs w:val="28"/>
                    </w:rPr>
                    <w:t>5</w:t>
                  </w:r>
                  <w:r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  <w:t>日印发</w:t>
                  </w:r>
                </w:p>
                <w:p w:rsidR="00D14C6B" w:rsidRDefault="00D14C6B" w:rsidP="00D14C6B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Default="00D14C6B" w:rsidP="00D14C6B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Default="00D14C6B" w:rsidP="00D14C6B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Default="00D14C6B" w:rsidP="00D14C6B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D14C6B" w:rsidRPr="00961E76" w:rsidRDefault="00D14C6B" w:rsidP="00D14C6B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273" o:spid="_x0000_s1033" style="position:absolute;left:0;text-align:left;z-index:251663360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  <w:sz w:val="32"/>
          <w:szCs w:val="32"/>
        </w:rPr>
        <w:pict>
          <v:line id="CopySendLine" o:spid="_x0000_s1032" style="position:absolute;left:0;text-align:left;z-index:251662336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</w:p>
    <w:sectPr w:rsidR="00572632" w:rsidSect="00D246F3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9E" w:rsidRDefault="004B389E">
      <w:r>
        <w:separator/>
      </w:r>
    </w:p>
  </w:endnote>
  <w:endnote w:type="continuationSeparator" w:id="0">
    <w:p w:rsidR="004B389E" w:rsidRDefault="004B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F3" w:rsidRDefault="00D246F3" w:rsidP="00D246F3">
    <w:pPr>
      <w:pStyle w:val="a6"/>
      <w:spacing w:line="320" w:lineRule="exact"/>
      <w:rPr>
        <w:rFonts w:ascii="宋体" w:hAnsi="宋体"/>
        <w:kern w:val="0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 w:rsidR="00EE413A"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 w:rsidR="00EE413A">
      <w:rPr>
        <w:rStyle w:val="ab"/>
        <w:rFonts w:ascii="宋体" w:hAnsi="宋体"/>
        <w:sz w:val="28"/>
        <w:szCs w:val="28"/>
      </w:rPr>
      <w:fldChar w:fldCharType="separate"/>
    </w:r>
    <w:r w:rsidR="00850C79">
      <w:rPr>
        <w:rStyle w:val="ab"/>
        <w:rFonts w:ascii="宋体" w:hAnsi="宋体"/>
        <w:noProof/>
        <w:sz w:val="28"/>
        <w:szCs w:val="28"/>
      </w:rPr>
      <w:t>2</w:t>
    </w:r>
    <w:r w:rsidR="00EE413A"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D246F3" w:rsidRDefault="00D246F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F3" w:rsidRDefault="00D246F3" w:rsidP="00D246F3">
    <w:pPr>
      <w:pStyle w:val="a6"/>
      <w:spacing w:line="320" w:lineRule="exact"/>
      <w:jc w:val="right"/>
      <w:rPr>
        <w:rFonts w:ascii="宋体" w:hAnsi="宋体"/>
        <w:kern w:val="0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 w:rsidR="00EE413A"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 w:rsidR="00EE413A">
      <w:rPr>
        <w:rStyle w:val="ab"/>
        <w:rFonts w:ascii="宋体" w:hAnsi="宋体"/>
        <w:sz w:val="28"/>
        <w:szCs w:val="28"/>
      </w:rPr>
      <w:fldChar w:fldCharType="separate"/>
    </w:r>
    <w:r w:rsidR="00850C79">
      <w:rPr>
        <w:rStyle w:val="ab"/>
        <w:rFonts w:ascii="宋体" w:hAnsi="宋体"/>
        <w:noProof/>
        <w:sz w:val="28"/>
        <w:szCs w:val="28"/>
      </w:rPr>
      <w:t>1</w:t>
    </w:r>
    <w:r w:rsidR="00EE413A"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D246F3" w:rsidRDefault="00D246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9E" w:rsidRDefault="004B389E">
      <w:r>
        <w:separator/>
      </w:r>
    </w:p>
  </w:footnote>
  <w:footnote w:type="continuationSeparator" w:id="0">
    <w:p w:rsidR="004B389E" w:rsidRDefault="004B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B5D"/>
    <w:rsid w:val="0001321B"/>
    <w:rsid w:val="000178BD"/>
    <w:rsid w:val="00073E4A"/>
    <w:rsid w:val="000E286F"/>
    <w:rsid w:val="000F5C8F"/>
    <w:rsid w:val="00111C6A"/>
    <w:rsid w:val="00125585"/>
    <w:rsid w:val="00136009"/>
    <w:rsid w:val="001845E8"/>
    <w:rsid w:val="001942B6"/>
    <w:rsid w:val="001A4940"/>
    <w:rsid w:val="00201C41"/>
    <w:rsid w:val="00206020"/>
    <w:rsid w:val="00207DF3"/>
    <w:rsid w:val="00245415"/>
    <w:rsid w:val="0027247E"/>
    <w:rsid w:val="002747FA"/>
    <w:rsid w:val="00276F23"/>
    <w:rsid w:val="002A5273"/>
    <w:rsid w:val="002F3B47"/>
    <w:rsid w:val="00357654"/>
    <w:rsid w:val="00382B1D"/>
    <w:rsid w:val="003A2EF9"/>
    <w:rsid w:val="00401322"/>
    <w:rsid w:val="00401909"/>
    <w:rsid w:val="00420872"/>
    <w:rsid w:val="0049620E"/>
    <w:rsid w:val="004A62EA"/>
    <w:rsid w:val="004B074B"/>
    <w:rsid w:val="004B0DD0"/>
    <w:rsid w:val="004B389E"/>
    <w:rsid w:val="004C4D29"/>
    <w:rsid w:val="00504C05"/>
    <w:rsid w:val="005457F0"/>
    <w:rsid w:val="00561D75"/>
    <w:rsid w:val="00572632"/>
    <w:rsid w:val="005832A1"/>
    <w:rsid w:val="005C5A39"/>
    <w:rsid w:val="005C6D85"/>
    <w:rsid w:val="005D05D8"/>
    <w:rsid w:val="005F69E9"/>
    <w:rsid w:val="00653C14"/>
    <w:rsid w:val="006909B6"/>
    <w:rsid w:val="006C1144"/>
    <w:rsid w:val="006F3BF8"/>
    <w:rsid w:val="006F616B"/>
    <w:rsid w:val="00713D5F"/>
    <w:rsid w:val="0071409F"/>
    <w:rsid w:val="00716552"/>
    <w:rsid w:val="00730AF4"/>
    <w:rsid w:val="00734BEA"/>
    <w:rsid w:val="00745916"/>
    <w:rsid w:val="007A64EC"/>
    <w:rsid w:val="00804A97"/>
    <w:rsid w:val="00835260"/>
    <w:rsid w:val="00844C8A"/>
    <w:rsid w:val="00850C79"/>
    <w:rsid w:val="008A44B8"/>
    <w:rsid w:val="008D6154"/>
    <w:rsid w:val="00915609"/>
    <w:rsid w:val="00960B22"/>
    <w:rsid w:val="00970431"/>
    <w:rsid w:val="009A3CBF"/>
    <w:rsid w:val="00A23F0F"/>
    <w:rsid w:val="00A25CE0"/>
    <w:rsid w:val="00A42EF8"/>
    <w:rsid w:val="00A617BE"/>
    <w:rsid w:val="00A64BC0"/>
    <w:rsid w:val="00AA1AF2"/>
    <w:rsid w:val="00AE79B7"/>
    <w:rsid w:val="00BA4B02"/>
    <w:rsid w:val="00BF1D41"/>
    <w:rsid w:val="00C02AA3"/>
    <w:rsid w:val="00C10F3F"/>
    <w:rsid w:val="00C372EA"/>
    <w:rsid w:val="00C77C54"/>
    <w:rsid w:val="00C907C4"/>
    <w:rsid w:val="00CB67D5"/>
    <w:rsid w:val="00CC77DE"/>
    <w:rsid w:val="00CD1595"/>
    <w:rsid w:val="00CF152D"/>
    <w:rsid w:val="00D060DA"/>
    <w:rsid w:val="00D11063"/>
    <w:rsid w:val="00D14C6B"/>
    <w:rsid w:val="00D246F3"/>
    <w:rsid w:val="00D4105D"/>
    <w:rsid w:val="00D44406"/>
    <w:rsid w:val="00D47B0C"/>
    <w:rsid w:val="00D85BF6"/>
    <w:rsid w:val="00DF6B07"/>
    <w:rsid w:val="00E07026"/>
    <w:rsid w:val="00E14A74"/>
    <w:rsid w:val="00E31AAC"/>
    <w:rsid w:val="00E41E0D"/>
    <w:rsid w:val="00E92FAD"/>
    <w:rsid w:val="00EB078B"/>
    <w:rsid w:val="00EC2E5D"/>
    <w:rsid w:val="00ED4B53"/>
    <w:rsid w:val="00EE413A"/>
    <w:rsid w:val="00EE778D"/>
    <w:rsid w:val="00F30751"/>
    <w:rsid w:val="00F44FBA"/>
    <w:rsid w:val="00F72266"/>
    <w:rsid w:val="00FC0B5D"/>
    <w:rsid w:val="00FD72BA"/>
    <w:rsid w:val="02080837"/>
    <w:rsid w:val="04CA7348"/>
    <w:rsid w:val="0D845192"/>
    <w:rsid w:val="14CB4553"/>
    <w:rsid w:val="15FA048C"/>
    <w:rsid w:val="170509AE"/>
    <w:rsid w:val="17AD5B3D"/>
    <w:rsid w:val="19B82E42"/>
    <w:rsid w:val="1A4F1430"/>
    <w:rsid w:val="1E9258E0"/>
    <w:rsid w:val="24EF403E"/>
    <w:rsid w:val="279C4F05"/>
    <w:rsid w:val="2A226C25"/>
    <w:rsid w:val="2F7C73AC"/>
    <w:rsid w:val="3BFF556C"/>
    <w:rsid w:val="3C867C56"/>
    <w:rsid w:val="40F11802"/>
    <w:rsid w:val="43D95A55"/>
    <w:rsid w:val="47CC0ADA"/>
    <w:rsid w:val="490727EB"/>
    <w:rsid w:val="54B052A3"/>
    <w:rsid w:val="55196275"/>
    <w:rsid w:val="5BCF0AC6"/>
    <w:rsid w:val="63E50C84"/>
    <w:rsid w:val="664B7CE5"/>
    <w:rsid w:val="6BD143B6"/>
    <w:rsid w:val="71C77E5F"/>
    <w:rsid w:val="78F06209"/>
    <w:rsid w:val="7F5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03C4C-E873-4B7F-BBFB-E2DE2611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7C54"/>
    <w:rPr>
      <w:color w:val="0563C1"/>
      <w:u w:val="single"/>
    </w:rPr>
  </w:style>
  <w:style w:type="character" w:styleId="a4">
    <w:name w:val="annotation reference"/>
    <w:uiPriority w:val="99"/>
    <w:unhideWhenUsed/>
    <w:rsid w:val="00C77C54"/>
    <w:rPr>
      <w:sz w:val="21"/>
      <w:szCs w:val="21"/>
    </w:rPr>
  </w:style>
  <w:style w:type="character" w:customStyle="1" w:styleId="Char">
    <w:name w:val="批注文字 Char"/>
    <w:link w:val="a5"/>
    <w:uiPriority w:val="99"/>
    <w:semiHidden/>
    <w:rsid w:val="00C77C54"/>
    <w:rPr>
      <w:kern w:val="2"/>
      <w:sz w:val="21"/>
      <w:szCs w:val="22"/>
    </w:rPr>
  </w:style>
  <w:style w:type="character" w:customStyle="1" w:styleId="Char0">
    <w:name w:val="页脚 Char"/>
    <w:link w:val="a6"/>
    <w:uiPriority w:val="99"/>
    <w:rsid w:val="00C77C54"/>
    <w:rPr>
      <w:kern w:val="2"/>
      <w:sz w:val="18"/>
      <w:szCs w:val="18"/>
    </w:rPr>
  </w:style>
  <w:style w:type="character" w:customStyle="1" w:styleId="Char1">
    <w:name w:val="日期 Char"/>
    <w:link w:val="a7"/>
    <w:rsid w:val="00C77C54"/>
    <w:rPr>
      <w:kern w:val="2"/>
      <w:sz w:val="21"/>
      <w:szCs w:val="22"/>
    </w:rPr>
  </w:style>
  <w:style w:type="character" w:customStyle="1" w:styleId="Char2">
    <w:name w:val="批注框文本 Char"/>
    <w:link w:val="a8"/>
    <w:uiPriority w:val="99"/>
    <w:semiHidden/>
    <w:rsid w:val="00C77C54"/>
    <w:rPr>
      <w:kern w:val="2"/>
      <w:sz w:val="18"/>
      <w:szCs w:val="18"/>
    </w:rPr>
  </w:style>
  <w:style w:type="character" w:customStyle="1" w:styleId="Char3">
    <w:name w:val="批注主题 Char"/>
    <w:link w:val="a9"/>
    <w:uiPriority w:val="99"/>
    <w:semiHidden/>
    <w:rsid w:val="00C77C54"/>
    <w:rPr>
      <w:b/>
      <w:bCs/>
      <w:kern w:val="2"/>
      <w:sz w:val="21"/>
      <w:szCs w:val="22"/>
    </w:rPr>
  </w:style>
  <w:style w:type="character" w:customStyle="1" w:styleId="Char4">
    <w:name w:val="页眉 Char"/>
    <w:link w:val="aa"/>
    <w:uiPriority w:val="99"/>
    <w:rsid w:val="00C77C54"/>
    <w:rPr>
      <w:kern w:val="2"/>
      <w:sz w:val="18"/>
      <w:szCs w:val="18"/>
    </w:rPr>
  </w:style>
  <w:style w:type="paragraph" w:styleId="a9">
    <w:name w:val="annotation subject"/>
    <w:basedOn w:val="a5"/>
    <w:next w:val="a5"/>
    <w:link w:val="Char3"/>
    <w:uiPriority w:val="99"/>
    <w:unhideWhenUsed/>
    <w:rsid w:val="00C77C54"/>
    <w:rPr>
      <w:b/>
      <w:bCs/>
    </w:rPr>
  </w:style>
  <w:style w:type="paragraph" w:styleId="a6">
    <w:name w:val="footer"/>
    <w:basedOn w:val="a"/>
    <w:link w:val="Char0"/>
    <w:uiPriority w:val="99"/>
    <w:unhideWhenUsed/>
    <w:rsid w:val="00C77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4"/>
    <w:uiPriority w:val="99"/>
    <w:unhideWhenUsed/>
    <w:rsid w:val="00C7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2"/>
    <w:uiPriority w:val="99"/>
    <w:unhideWhenUsed/>
    <w:rsid w:val="00C77C54"/>
    <w:rPr>
      <w:sz w:val="18"/>
      <w:szCs w:val="18"/>
    </w:rPr>
  </w:style>
  <w:style w:type="paragraph" w:styleId="a7">
    <w:name w:val="Date"/>
    <w:basedOn w:val="a"/>
    <w:next w:val="a"/>
    <w:link w:val="Char1"/>
    <w:unhideWhenUsed/>
    <w:rsid w:val="00C77C54"/>
    <w:pPr>
      <w:ind w:leftChars="2500" w:left="100"/>
    </w:pPr>
  </w:style>
  <w:style w:type="paragraph" w:styleId="a5">
    <w:name w:val="annotation text"/>
    <w:basedOn w:val="a"/>
    <w:link w:val="Char"/>
    <w:uiPriority w:val="99"/>
    <w:unhideWhenUsed/>
    <w:rsid w:val="00C77C54"/>
    <w:pPr>
      <w:jc w:val="left"/>
    </w:pPr>
  </w:style>
  <w:style w:type="character" w:styleId="ab">
    <w:name w:val="page number"/>
    <w:basedOn w:val="a0"/>
    <w:rsid w:val="00D24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赵大明</dc:creator>
  <cp:keywords/>
  <dc:description/>
  <cp:lastModifiedBy>刘柏毅</cp:lastModifiedBy>
  <cp:revision>11</cp:revision>
  <cp:lastPrinted>2020-05-29T06:49:00Z</cp:lastPrinted>
  <dcterms:created xsi:type="dcterms:W3CDTF">2020-06-01T05:46:00Z</dcterms:created>
  <dcterms:modified xsi:type="dcterms:W3CDTF">2020-06-05T07:47:00Z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