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F" w:rsidRDefault="00402A5F">
      <w:pPr>
        <w:tabs>
          <w:tab w:val="left" w:pos="1905"/>
        </w:tabs>
        <w:jc w:val="left"/>
        <w:rPr>
          <w:rFonts w:ascii="宋体" w:hAnsi="宋体"/>
          <w:sz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:rsidR="00402A5F" w:rsidRDefault="00402A5F">
      <w:pPr>
        <w:tabs>
          <w:tab w:val="left" w:pos="0"/>
        </w:tabs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参加培训人员自带资料</w:t>
      </w:r>
    </w:p>
    <w:p w:rsidR="00402A5F" w:rsidRDefault="00402A5F">
      <w:pPr>
        <w:tabs>
          <w:tab w:val="left" w:pos="0"/>
        </w:tabs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402A5F" w:rsidRDefault="00402A5F">
      <w:pPr>
        <w:tabs>
          <w:tab w:val="left" w:pos="1905"/>
        </w:tabs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公用标准（各专业）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、《电厂动力管道设计规范》</w:t>
      </w:r>
      <w:r>
        <w:rPr>
          <w:sz w:val="28"/>
          <w:szCs w:val="28"/>
        </w:rPr>
        <w:t xml:space="preserve">                       GB 50764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、《火力发电厂汽水管道设计技术规定》</w:t>
      </w:r>
      <w:r>
        <w:rPr>
          <w:sz w:val="28"/>
          <w:szCs w:val="28"/>
        </w:rPr>
        <w:t xml:space="preserve">             DL/T 5054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、《发电厂汽水管道应力计算技术规程》</w:t>
      </w:r>
      <w:r>
        <w:rPr>
          <w:sz w:val="28"/>
          <w:szCs w:val="28"/>
        </w:rPr>
        <w:t xml:space="preserve">             DL/T 5366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、《火力发电厂保温油漆设计技术规程》</w:t>
      </w:r>
      <w:r>
        <w:rPr>
          <w:sz w:val="28"/>
          <w:szCs w:val="28"/>
        </w:rPr>
        <w:t xml:space="preserve">             DL/T 5072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、《管道支吊架》</w:t>
      </w:r>
      <w:r>
        <w:rPr>
          <w:sz w:val="28"/>
          <w:szCs w:val="28"/>
        </w:rPr>
        <w:t xml:space="preserve">                                 GB/T 17116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、</w:t>
      </w:r>
      <w:r w:rsidR="00D05DFF">
        <w:rPr>
          <w:sz w:val="28"/>
          <w:szCs w:val="28"/>
        </w:rPr>
        <w:t>《城镇燃气输配工程施工及验收规范》</w:t>
      </w:r>
      <w:r w:rsidR="00D05DFF">
        <w:rPr>
          <w:rFonts w:hint="eastAsia"/>
          <w:sz w:val="28"/>
          <w:szCs w:val="28"/>
        </w:rPr>
        <w:t xml:space="preserve">             </w:t>
      </w:r>
      <w:r w:rsidR="00D05DFF">
        <w:rPr>
          <w:sz w:val="28"/>
          <w:szCs w:val="28"/>
        </w:rPr>
        <w:t>CJJ33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、</w:t>
      </w:r>
      <w:r w:rsidR="00D05DFF">
        <w:rPr>
          <w:rFonts w:hint="eastAsia"/>
          <w:sz w:val="28"/>
          <w:szCs w:val="28"/>
        </w:rPr>
        <w:t>《城镇供热管网工程施工及验收规范》</w:t>
      </w:r>
      <w:r w:rsidR="00D05DFF">
        <w:rPr>
          <w:rFonts w:hint="eastAsia"/>
          <w:sz w:val="28"/>
          <w:szCs w:val="28"/>
        </w:rPr>
        <w:t xml:space="preserve">             </w:t>
      </w:r>
      <w:r w:rsidR="00D05DFF">
        <w:rPr>
          <w:sz w:val="28"/>
          <w:szCs w:val="28"/>
        </w:rPr>
        <w:t>CJJ28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、</w:t>
      </w:r>
      <w:r w:rsidR="00D05DFF">
        <w:rPr>
          <w:rFonts w:hAnsi="宋体"/>
          <w:sz w:val="28"/>
          <w:szCs w:val="28"/>
        </w:rPr>
        <w:t>《建筑设计防火规范》</w:t>
      </w:r>
      <w:r w:rsidR="00D05DFF">
        <w:rPr>
          <w:sz w:val="28"/>
          <w:szCs w:val="28"/>
        </w:rPr>
        <w:t xml:space="preserve">                 </w:t>
      </w:r>
      <w:r w:rsidR="00D05DFF">
        <w:rPr>
          <w:rFonts w:hint="eastAsia"/>
          <w:sz w:val="28"/>
          <w:szCs w:val="28"/>
        </w:rPr>
        <w:t xml:space="preserve"> </w:t>
      </w:r>
      <w:r w:rsidR="00D05DFF">
        <w:rPr>
          <w:sz w:val="28"/>
          <w:szCs w:val="28"/>
        </w:rPr>
        <w:t xml:space="preserve">         GB 50016</w:t>
      </w:r>
    </w:p>
    <w:p w:rsidR="00402A5F" w:rsidRPr="00D05DFF" w:rsidRDefault="00402A5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D05DFF">
        <w:rPr>
          <w:rFonts w:hAnsi="宋体"/>
          <w:sz w:val="28"/>
          <w:szCs w:val="28"/>
        </w:rPr>
        <w:t>《火力发电厂油气管道设计规程》</w:t>
      </w:r>
      <w:r w:rsidR="00D05DFF">
        <w:rPr>
          <w:sz w:val="28"/>
          <w:szCs w:val="28"/>
        </w:rPr>
        <w:t xml:space="preserve">           </w:t>
      </w:r>
      <w:r w:rsidR="000C6187">
        <w:rPr>
          <w:rFonts w:hint="eastAsia"/>
          <w:sz w:val="28"/>
          <w:szCs w:val="28"/>
        </w:rPr>
        <w:t xml:space="preserve"> </w:t>
      </w:r>
      <w:r w:rsidR="00D05DFF">
        <w:rPr>
          <w:sz w:val="28"/>
          <w:szCs w:val="28"/>
        </w:rPr>
        <w:t xml:space="preserve">     DL/T 5204</w:t>
      </w:r>
    </w:p>
    <w:p w:rsidR="00402A5F" w:rsidRDefault="00402A5F">
      <w:pPr>
        <w:tabs>
          <w:tab w:val="left" w:pos="1905"/>
        </w:tabs>
        <w:spacing w:line="360" w:lineRule="auto"/>
        <w:jc w:val="left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热机专业</w:t>
      </w:r>
    </w:p>
    <w:p w:rsidR="00402A5F" w:rsidRDefault="00402A5F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</w:t>
      </w:r>
      <w:r w:rsidR="00E678BA" w:rsidRPr="008B3D5A">
        <w:rPr>
          <w:sz w:val="28"/>
          <w:szCs w:val="28"/>
        </w:rPr>
        <w:t>《</w:t>
      </w:r>
      <w:r w:rsidR="00E678BA" w:rsidRPr="008B3D5A">
        <w:rPr>
          <w:rFonts w:hint="eastAsia"/>
          <w:sz w:val="28"/>
          <w:szCs w:val="28"/>
        </w:rPr>
        <w:t>火力发电厂汽轮机防进水和冷蒸汽导则</w:t>
      </w:r>
      <w:r w:rsidR="00E678BA" w:rsidRPr="008B3D5A">
        <w:rPr>
          <w:sz w:val="28"/>
          <w:szCs w:val="28"/>
        </w:rPr>
        <w:t>》</w:t>
      </w:r>
      <w:r w:rsidR="00E678BA" w:rsidRPr="008B3D5A">
        <w:rPr>
          <w:sz w:val="28"/>
          <w:szCs w:val="28"/>
        </w:rPr>
        <w:t xml:space="preserve">     </w:t>
      </w:r>
      <w:r w:rsidR="00E678BA">
        <w:rPr>
          <w:rFonts w:hint="eastAsia"/>
          <w:sz w:val="28"/>
          <w:szCs w:val="28"/>
        </w:rPr>
        <w:t xml:space="preserve">  </w:t>
      </w:r>
      <w:r w:rsidR="00E678BA" w:rsidRPr="008B3D5A">
        <w:rPr>
          <w:sz w:val="28"/>
          <w:szCs w:val="28"/>
        </w:rPr>
        <w:t xml:space="preserve">  </w:t>
      </w:r>
      <w:r w:rsidR="00E678BA" w:rsidRPr="008B3D5A">
        <w:rPr>
          <w:rFonts w:hint="eastAsia"/>
          <w:sz w:val="28"/>
          <w:szCs w:val="28"/>
        </w:rPr>
        <w:t>DL/T 834</w:t>
      </w:r>
    </w:p>
    <w:p w:rsidR="00402A5F" w:rsidRDefault="00402A5F">
      <w:pPr>
        <w:tabs>
          <w:tab w:val="left" w:pos="1905"/>
        </w:tabs>
        <w:spacing w:line="360" w:lineRule="auto"/>
        <w:jc w:val="left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化水专业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、《氢气站设计规范》</w:t>
      </w:r>
      <w:r>
        <w:rPr>
          <w:sz w:val="28"/>
          <w:szCs w:val="28"/>
        </w:rPr>
        <w:t xml:space="preserve">                            GB 50177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、《石油化工企业设计防火规范》</w:t>
      </w:r>
      <w:r>
        <w:rPr>
          <w:sz w:val="28"/>
          <w:szCs w:val="28"/>
        </w:rPr>
        <w:t xml:space="preserve">                  GB 50160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、《氯气安全规程》</w:t>
      </w:r>
      <w:r>
        <w:rPr>
          <w:sz w:val="28"/>
          <w:szCs w:val="28"/>
        </w:rPr>
        <w:t xml:space="preserve">                              GB 11984</w:t>
      </w:r>
    </w:p>
    <w:p w:rsidR="00402A5F" w:rsidRDefault="00402A5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、《氢气使用安全技术规程》</w:t>
      </w:r>
      <w:r>
        <w:rPr>
          <w:sz w:val="28"/>
          <w:szCs w:val="28"/>
        </w:rPr>
        <w:t xml:space="preserve">                      GB 4962</w:t>
      </w:r>
    </w:p>
    <w:p w:rsidR="00B439B7" w:rsidRDefault="00B439B7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、《</w:t>
      </w:r>
      <w:r w:rsidRPr="00B439B7">
        <w:rPr>
          <w:rFonts w:hint="eastAsia"/>
          <w:sz w:val="28"/>
          <w:szCs w:val="28"/>
        </w:rPr>
        <w:t>火力发电厂烟气脱硝设计技术规程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           </w:t>
      </w:r>
      <w:r w:rsidRPr="00B439B7">
        <w:rPr>
          <w:sz w:val="28"/>
          <w:szCs w:val="28"/>
        </w:rPr>
        <w:t>DL/T 5480</w:t>
      </w:r>
    </w:p>
    <w:p w:rsidR="00402A5F" w:rsidRPr="004664B1" w:rsidRDefault="00402A5F" w:rsidP="004664B1">
      <w:pPr>
        <w:spacing w:beforeLines="100" w:before="312"/>
        <w:rPr>
          <w:rFonts w:ascii="宋体" w:hAnsi="宋体"/>
        </w:rPr>
      </w:pPr>
      <w:r>
        <w:rPr>
          <w:rFonts w:ascii="宋体" w:hAnsi="宋体" w:cs="宋体" w:hint="eastAsia"/>
          <w:b/>
          <w:bCs/>
          <w:sz w:val="30"/>
          <w:szCs w:val="30"/>
        </w:rPr>
        <w:t>另：请全体学员</w:t>
      </w:r>
      <w:r w:rsidR="00B439B7">
        <w:rPr>
          <w:rFonts w:ascii="宋体" w:hAnsi="宋体" w:cs="宋体" w:hint="eastAsia"/>
          <w:b/>
          <w:bCs/>
          <w:sz w:val="30"/>
          <w:szCs w:val="30"/>
        </w:rPr>
        <w:t>自带</w:t>
      </w:r>
      <w:r>
        <w:rPr>
          <w:rFonts w:ascii="宋体" w:hAnsi="宋体" w:cs="宋体" w:hint="eastAsia"/>
          <w:b/>
          <w:bCs/>
          <w:sz w:val="30"/>
          <w:szCs w:val="30"/>
        </w:rPr>
        <w:t>计算器</w:t>
      </w:r>
      <w:r w:rsidR="00C51257">
        <w:rPr>
          <w:rFonts w:ascii="宋体" w:hAnsi="宋体" w:cs="宋体" w:hint="eastAsia"/>
          <w:b/>
          <w:bCs/>
          <w:sz w:val="30"/>
          <w:szCs w:val="30"/>
        </w:rPr>
        <w:t>（注：考试时不能使用手机等电子设备）</w:t>
      </w:r>
    </w:p>
    <w:p w:rsidR="00402A5F" w:rsidRDefault="00402A5F">
      <w:pPr>
        <w:spacing w:line="540" w:lineRule="exact"/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 w:rsidR="00402A5F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76" w:rsidRDefault="005D2A76">
      <w:r>
        <w:separator/>
      </w:r>
    </w:p>
  </w:endnote>
  <w:endnote w:type="continuationSeparator" w:id="0">
    <w:p w:rsidR="005D2A76" w:rsidRDefault="005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5F" w:rsidRDefault="00402A5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4B1" w:rsidRPr="004664B1">
      <w:rPr>
        <w:noProof/>
        <w:lang w:val="zh-CN"/>
      </w:rPr>
      <w:t>2</w:t>
    </w:r>
    <w:r>
      <w:fldChar w:fldCharType="end"/>
    </w:r>
  </w:p>
  <w:p w:rsidR="00402A5F" w:rsidRDefault="00402A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76" w:rsidRDefault="005D2A76">
      <w:r>
        <w:separator/>
      </w:r>
    </w:p>
  </w:footnote>
  <w:footnote w:type="continuationSeparator" w:id="0">
    <w:p w:rsidR="005D2A76" w:rsidRDefault="005D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73"/>
    <w:multiLevelType w:val="multilevel"/>
    <w:tmpl w:val="127C5F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CAD018"/>
    <w:multiLevelType w:val="singleLevel"/>
    <w:tmpl w:val="5ACAD018"/>
    <w:lvl w:ilvl="0">
      <w:start w:val="2"/>
      <w:numFmt w:val="decimal"/>
      <w:suff w:val="space"/>
      <w:lvlText w:val="%1."/>
      <w:lvlJc w:val="left"/>
    </w:lvl>
  </w:abstractNum>
  <w:abstractNum w:abstractNumId="2">
    <w:nsid w:val="6BC8222F"/>
    <w:multiLevelType w:val="multilevel"/>
    <w:tmpl w:val="6BC8222F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D"/>
    <w:rsid w:val="00004478"/>
    <w:rsid w:val="00037E58"/>
    <w:rsid w:val="000C6187"/>
    <w:rsid w:val="001A635C"/>
    <w:rsid w:val="001B5388"/>
    <w:rsid w:val="0027389A"/>
    <w:rsid w:val="002E2517"/>
    <w:rsid w:val="00321F50"/>
    <w:rsid w:val="003E09A6"/>
    <w:rsid w:val="00400A7F"/>
    <w:rsid w:val="00402A5F"/>
    <w:rsid w:val="004664B1"/>
    <w:rsid w:val="005D2A76"/>
    <w:rsid w:val="005F5EBB"/>
    <w:rsid w:val="00657E50"/>
    <w:rsid w:val="0066224D"/>
    <w:rsid w:val="006A67AF"/>
    <w:rsid w:val="006B2AC7"/>
    <w:rsid w:val="006E7B62"/>
    <w:rsid w:val="0081628B"/>
    <w:rsid w:val="008C164B"/>
    <w:rsid w:val="00913BCF"/>
    <w:rsid w:val="009417FE"/>
    <w:rsid w:val="00951725"/>
    <w:rsid w:val="00953AA0"/>
    <w:rsid w:val="00A322BE"/>
    <w:rsid w:val="00A46F00"/>
    <w:rsid w:val="00A558FF"/>
    <w:rsid w:val="00B439B7"/>
    <w:rsid w:val="00BC5739"/>
    <w:rsid w:val="00BE5AC0"/>
    <w:rsid w:val="00C51257"/>
    <w:rsid w:val="00C64AE9"/>
    <w:rsid w:val="00D05DFF"/>
    <w:rsid w:val="00E43A7C"/>
    <w:rsid w:val="00E678BA"/>
    <w:rsid w:val="00EB1619"/>
    <w:rsid w:val="00F260F9"/>
    <w:rsid w:val="00F65DE5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Char1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批注框文本 Char"/>
    <w:semiHidden/>
    <w:rPr>
      <w:rFonts w:ascii="Calibri" w:hAnsi="Calibri"/>
      <w:kern w:val="2"/>
      <w:sz w:val="18"/>
      <w:szCs w:val="18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unhideWhenUsed/>
    <w:rPr>
      <w:color w:val="0000FF"/>
      <w:u w:val="single"/>
    </w:rPr>
  </w:style>
  <w:style w:type="character" w:styleId="a5">
    <w:name w:val="page number"/>
    <w:basedOn w:val="a0"/>
    <w:semiHidden/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qFormat/>
    <w:rPr>
      <w:rFonts w:eastAsia="仿宋_GB2312"/>
      <w:kern w:val="2"/>
      <w:sz w:val="32"/>
      <w:szCs w:val="24"/>
    </w:rPr>
  </w:style>
  <w:style w:type="character" w:customStyle="1" w:styleId="Char4">
    <w:name w:val="正文文本缩进 Char"/>
    <w:rPr>
      <w:rFonts w:ascii="仿宋_GB2312" w:eastAsia="仿宋_GB2312"/>
      <w:kern w:val="2"/>
      <w:sz w:val="32"/>
      <w:szCs w:val="24"/>
    </w:rPr>
  </w:style>
  <w:style w:type="paragraph" w:styleId="a6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9">
    <w:name w:val="Balloon Text"/>
    <w:basedOn w:val="a"/>
    <w:unhideWhenUsed/>
    <w:pPr>
      <w:spacing w:line="540" w:lineRule="exact"/>
    </w:pPr>
    <w:rPr>
      <w:rFonts w:ascii="Calibri" w:hAnsi="Calibri"/>
      <w:sz w:val="18"/>
      <w:szCs w:val="18"/>
    </w:rPr>
  </w:style>
  <w:style w:type="paragraph" w:styleId="aa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styleId="ad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styleId="ae">
    <w:name w:val="Normal Indent"/>
    <w:basedOn w:val="a"/>
    <w:unhideWhenUsed/>
    <w:qFormat/>
    <w:rsid w:val="00E43A7C"/>
    <w:pPr>
      <w:spacing w:line="580" w:lineRule="exact"/>
      <w:ind w:firstLine="630"/>
    </w:pPr>
    <w:rPr>
      <w:rFonts w:eastAsia="仿宋_GB2312"/>
      <w:kern w:val="0"/>
      <w:sz w:val="32"/>
      <w:szCs w:val="20"/>
    </w:rPr>
  </w:style>
  <w:style w:type="table" w:styleId="af">
    <w:name w:val="Table Grid"/>
    <w:basedOn w:val="a1"/>
    <w:qFormat/>
    <w:rsid w:val="00D05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5</cp:revision>
  <cp:lastPrinted>2014-10-08T06:18:00Z</cp:lastPrinted>
  <dcterms:created xsi:type="dcterms:W3CDTF">2018-06-08T03:10:00Z</dcterms:created>
  <dcterms:modified xsi:type="dcterms:W3CDTF">2018-06-11T01:52:00Z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