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Override PartName="/word/charts/chart59.xml" ContentType="application/vnd.openxmlformats-officedocument.drawingml.chart+xml"/>
  <Override PartName="/word/theme/themeOverride1.xml" ContentType="application/vnd.openxmlformats-officedocument.themeOverride+xml"/>
  <Override PartName="/word/charts/chart77.xml" ContentType="application/vnd.openxmlformats-officedocument.drawingml.chart+xml"/>
  <Override PartName="/word/charts/chart8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footer3.xml" ContentType="application/vnd.openxmlformats-officedocument.wordprocessingml.footer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93.xml" ContentType="application/vnd.openxmlformats-officedocument.drawingml.chart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91.xml" ContentType="application/vnd.openxmlformats-officedocument.drawingml.chart+xml"/>
  <Override PartName="/word/header2.xml" ContentType="application/vnd.openxmlformats-officedocument.wordprocessingml.header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Default Extension="xlsx" ContentType="application/vnd.openxmlformats-officedocument.spreadsheetml.sheet"/>
  <Override PartName="/word/charts/chart8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Default Extension="png" ContentType="image/png"/>
  <Override PartName="/word/charts/chart89.xml" ContentType="application/vnd.openxmlformats-officedocument.drawingml.chart+xml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charts/chart87.xml" ContentType="application/vnd.openxmlformats-officedocument.drawingml.chart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footer4.xml" ContentType="application/vnd.openxmlformats-officedocument.wordprocessingml.footer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word/charts/chart85.xml" ContentType="application/vnd.openxmlformats-officedocument.drawingml.chart+xml"/>
  <Override PartName="/word/charts/chart94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83.xml" ContentType="application/vnd.openxmlformats-officedocument.drawingml.chart+xml"/>
  <Override PartName="/word/charts/chart92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charts/chart90.xml" ContentType="application/vnd.openxmlformats-officedocument.drawingml.chart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charts/chart68.xml" ContentType="application/vnd.openxmlformats-officedocument.drawingml.chart+xml"/>
  <Override PartName="/word/charts/chart79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33" w:rsidRDefault="00566D33" w:rsidP="00566D33">
      <w:pPr>
        <w:spacing w:line="360" w:lineRule="auto"/>
        <w:rPr>
          <w:rFonts w:asciiTheme="majorHAnsi" w:hAnsiTheme="majorHAnsi" w:cstheme="majorBidi"/>
          <w:b/>
          <w:bCs/>
          <w:sz w:val="32"/>
          <w:szCs w:val="32"/>
        </w:rPr>
      </w:pPr>
    </w:p>
    <w:p w:rsidR="000A7308" w:rsidRDefault="000A7308" w:rsidP="00566D33">
      <w:pPr>
        <w:spacing w:line="360" w:lineRule="auto"/>
        <w:rPr>
          <w:rFonts w:asciiTheme="majorHAnsi" w:hAnsiTheme="majorHAnsi" w:cstheme="majorBidi"/>
          <w:b/>
          <w:bCs/>
          <w:sz w:val="32"/>
          <w:szCs w:val="32"/>
        </w:rPr>
      </w:pPr>
    </w:p>
    <w:p w:rsidR="000A7308" w:rsidRDefault="000A7308" w:rsidP="00566D33">
      <w:pPr>
        <w:spacing w:line="360" w:lineRule="auto"/>
        <w:rPr>
          <w:rFonts w:asciiTheme="majorHAnsi" w:hAnsiTheme="majorHAnsi" w:cstheme="majorBidi"/>
          <w:b/>
          <w:bCs/>
          <w:sz w:val="32"/>
          <w:szCs w:val="32"/>
        </w:rPr>
      </w:pPr>
    </w:p>
    <w:p w:rsidR="000A7308" w:rsidRDefault="000A7308" w:rsidP="00566D33">
      <w:pPr>
        <w:spacing w:line="360" w:lineRule="auto"/>
        <w:rPr>
          <w:rFonts w:asciiTheme="majorHAnsi" w:hAnsiTheme="majorHAnsi" w:cstheme="majorBidi"/>
          <w:b/>
          <w:bCs/>
          <w:sz w:val="32"/>
          <w:szCs w:val="32"/>
        </w:rPr>
      </w:pPr>
    </w:p>
    <w:p w:rsidR="002E360D" w:rsidRPr="002E360D" w:rsidRDefault="002E360D" w:rsidP="00566D33">
      <w:pPr>
        <w:spacing w:line="360" w:lineRule="auto"/>
        <w:rPr>
          <w:rFonts w:asciiTheme="minorEastAsia" w:eastAsiaTheme="minorEastAsia" w:hAnsiTheme="minorEastAsia"/>
          <w:b/>
          <w:sz w:val="36"/>
          <w:szCs w:val="36"/>
        </w:rPr>
      </w:pPr>
      <w:r w:rsidRPr="002E360D">
        <w:rPr>
          <w:rFonts w:asciiTheme="minorEastAsia" w:eastAsiaTheme="minorEastAsia" w:hAnsiTheme="minorEastAsia" w:hint="eastAsia"/>
          <w:b/>
          <w:sz w:val="36"/>
          <w:szCs w:val="36"/>
        </w:rPr>
        <w:t>2012年至2015年电力勘测设计行业</w:t>
      </w:r>
      <w:r w:rsidR="00566D33">
        <w:rPr>
          <w:rFonts w:asciiTheme="minorEastAsia" w:eastAsiaTheme="minorEastAsia" w:hAnsiTheme="minorEastAsia" w:hint="eastAsia"/>
          <w:b/>
          <w:sz w:val="36"/>
          <w:szCs w:val="36"/>
        </w:rPr>
        <w:t>统计指标分析报</w:t>
      </w:r>
      <w:r w:rsidRPr="002E360D">
        <w:rPr>
          <w:rFonts w:asciiTheme="minorEastAsia" w:eastAsiaTheme="minorEastAsia" w:hAnsiTheme="minorEastAsia" w:hint="eastAsia"/>
          <w:b/>
          <w:sz w:val="36"/>
          <w:szCs w:val="36"/>
        </w:rPr>
        <w:t>告</w:t>
      </w:r>
    </w:p>
    <w:p w:rsidR="00C15F2D" w:rsidRPr="002E360D" w:rsidRDefault="002E360D" w:rsidP="00C15F2D">
      <w:pPr>
        <w:spacing w:line="360" w:lineRule="auto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2E360D">
        <w:rPr>
          <w:rFonts w:asciiTheme="minorEastAsia" w:eastAsiaTheme="minorEastAsia" w:hAnsiTheme="minorEastAsia" w:hint="eastAsia"/>
          <w:b/>
          <w:sz w:val="36"/>
          <w:szCs w:val="36"/>
        </w:rPr>
        <w:t>及</w:t>
      </w:r>
      <w:r w:rsidR="00C15F2D" w:rsidRPr="002E360D">
        <w:rPr>
          <w:rFonts w:asciiTheme="minorEastAsia" w:eastAsiaTheme="minorEastAsia" w:hAnsiTheme="minorEastAsia" w:hint="eastAsia"/>
          <w:b/>
          <w:sz w:val="36"/>
          <w:szCs w:val="36"/>
        </w:rPr>
        <w:t>201</w:t>
      </w:r>
      <w:r w:rsidR="00A07708" w:rsidRPr="002E360D">
        <w:rPr>
          <w:rFonts w:asciiTheme="minorEastAsia" w:eastAsiaTheme="minorEastAsia" w:hAnsiTheme="minorEastAsia" w:hint="eastAsia"/>
          <w:b/>
          <w:sz w:val="36"/>
          <w:szCs w:val="36"/>
        </w:rPr>
        <w:t>5</w:t>
      </w:r>
      <w:r w:rsidR="00C15F2D" w:rsidRPr="002E360D">
        <w:rPr>
          <w:rFonts w:asciiTheme="minorEastAsia" w:eastAsiaTheme="minorEastAsia" w:hAnsiTheme="minorEastAsia" w:hint="eastAsia"/>
          <w:b/>
          <w:sz w:val="36"/>
          <w:szCs w:val="36"/>
        </w:rPr>
        <w:t>年</w:t>
      </w:r>
      <w:r>
        <w:rPr>
          <w:rFonts w:asciiTheme="minorEastAsia" w:eastAsiaTheme="minorEastAsia" w:hAnsiTheme="minorEastAsia" w:hint="eastAsia"/>
          <w:b/>
          <w:sz w:val="36"/>
          <w:szCs w:val="36"/>
        </w:rPr>
        <w:t>度</w:t>
      </w:r>
      <w:r w:rsidR="00C15F2D" w:rsidRPr="002E360D">
        <w:rPr>
          <w:rFonts w:asciiTheme="minorEastAsia" w:eastAsiaTheme="minorEastAsia" w:hAnsiTheme="minorEastAsia" w:hint="eastAsia"/>
          <w:b/>
          <w:sz w:val="36"/>
          <w:szCs w:val="36"/>
        </w:rPr>
        <w:t>电力勘测设计统计年报分析报告</w:t>
      </w: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566D33" w:rsidRDefault="00566D33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566D33" w:rsidRDefault="00566D33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0A7308" w:rsidRDefault="000A7308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0A7308" w:rsidRDefault="000A7308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0A7308" w:rsidRDefault="000A7308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0A7308" w:rsidRDefault="000A7308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0A7308" w:rsidRDefault="000A7308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566D33" w:rsidRDefault="00566D33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566D33" w:rsidRPr="002C5D67" w:rsidRDefault="00566D33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 w:rsidRPr="002C5D67">
        <w:rPr>
          <w:rFonts w:ascii="宋体" w:hAnsi="宋体" w:hint="eastAsia"/>
          <w:b/>
          <w:sz w:val="32"/>
          <w:szCs w:val="32"/>
        </w:rPr>
        <w:t xml:space="preserve">中国电力规划设计协会 </w:t>
      </w: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 w:rsidRPr="002C5D67">
        <w:rPr>
          <w:rFonts w:ascii="宋体" w:hAnsi="宋体" w:hint="eastAsia"/>
          <w:b/>
          <w:sz w:val="32"/>
          <w:szCs w:val="32"/>
        </w:rPr>
        <w:t>201</w:t>
      </w:r>
      <w:r w:rsidR="00A07708">
        <w:rPr>
          <w:rFonts w:ascii="宋体" w:hAnsi="宋体" w:hint="eastAsia"/>
          <w:b/>
          <w:sz w:val="32"/>
          <w:szCs w:val="32"/>
        </w:rPr>
        <w:t>6</w:t>
      </w:r>
      <w:r w:rsidRPr="002C5D67">
        <w:rPr>
          <w:rFonts w:ascii="宋体" w:hAnsi="宋体" w:hint="eastAsia"/>
          <w:b/>
          <w:sz w:val="32"/>
          <w:szCs w:val="32"/>
        </w:rPr>
        <w:t>年</w:t>
      </w:r>
      <w:r w:rsidR="002E360D">
        <w:rPr>
          <w:rFonts w:ascii="宋体" w:hAnsi="宋体" w:hint="eastAsia"/>
          <w:b/>
          <w:sz w:val="32"/>
          <w:szCs w:val="32"/>
        </w:rPr>
        <w:t>5</w:t>
      </w:r>
      <w:r w:rsidRPr="002C5D67">
        <w:rPr>
          <w:rFonts w:ascii="宋体" w:hAnsi="宋体" w:hint="eastAsia"/>
          <w:b/>
          <w:sz w:val="32"/>
          <w:szCs w:val="32"/>
        </w:rPr>
        <w:t>月</w:t>
      </w:r>
    </w:p>
    <w:p w:rsidR="00C15F2D" w:rsidRPr="002C5D67" w:rsidRDefault="00C15F2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  <w:sectPr w:rsidR="00C15F2D" w:rsidRPr="002C5D67" w:rsidSect="00566D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474" w:header="851" w:footer="992" w:gutter="0"/>
          <w:pgNumType w:start="1"/>
          <w:cols w:space="425"/>
          <w:titlePg/>
          <w:docGrid w:type="lines" w:linePitch="312"/>
        </w:sectPr>
      </w:pPr>
    </w:p>
    <w:p w:rsidR="00C15F2D" w:rsidRPr="001A074C" w:rsidRDefault="00C15F2D" w:rsidP="00A04D2F">
      <w:pPr>
        <w:pStyle w:val="20"/>
      </w:pPr>
      <w:r w:rsidRPr="001A074C">
        <w:rPr>
          <w:rFonts w:hint="eastAsia"/>
        </w:rPr>
        <w:lastRenderedPageBreak/>
        <w:t>目</w:t>
      </w:r>
      <w:r w:rsidRPr="001A074C">
        <w:rPr>
          <w:rFonts w:hint="eastAsia"/>
        </w:rPr>
        <w:t xml:space="preserve">  </w:t>
      </w:r>
      <w:r w:rsidRPr="001A074C">
        <w:rPr>
          <w:rFonts w:hint="eastAsia"/>
        </w:rPr>
        <w:t>录</w:t>
      </w:r>
    </w:p>
    <w:p w:rsidR="002E360D" w:rsidRPr="001F1BC5" w:rsidRDefault="000F59FD" w:rsidP="00A04D2F">
      <w:pPr>
        <w:pStyle w:val="10"/>
        <w:spacing w:line="276" w:lineRule="auto"/>
        <w:rPr>
          <w:sz w:val="24"/>
          <w:szCs w:val="24"/>
        </w:rPr>
      </w:pPr>
      <w:r w:rsidRPr="000F59FD">
        <w:rPr>
          <w:rFonts w:ascii="宋体" w:hAnsi="宋体"/>
          <w:b/>
          <w:sz w:val="24"/>
          <w:szCs w:val="24"/>
        </w:rPr>
        <w:fldChar w:fldCharType="begin"/>
      </w:r>
      <w:r w:rsidR="00C15F2D" w:rsidRPr="001F1BC5">
        <w:rPr>
          <w:rFonts w:ascii="宋体" w:hAnsi="宋体"/>
          <w:b/>
          <w:sz w:val="24"/>
          <w:szCs w:val="24"/>
        </w:rPr>
        <w:instrText xml:space="preserve"> TOC \o "1-3" \h \z \u </w:instrText>
      </w:r>
      <w:r w:rsidRPr="000F59FD">
        <w:rPr>
          <w:rFonts w:ascii="宋体" w:hAnsi="宋体"/>
          <w:b/>
          <w:sz w:val="24"/>
          <w:szCs w:val="24"/>
        </w:rPr>
        <w:fldChar w:fldCharType="separate"/>
      </w:r>
      <w:hyperlink w:anchor="_Toc450668435" w:history="1">
        <w:r w:rsidR="002E360D" w:rsidRPr="001F1BC5">
          <w:rPr>
            <w:rStyle w:val="a6"/>
            <w:rFonts w:hint="eastAsia"/>
            <w:sz w:val="24"/>
            <w:szCs w:val="24"/>
          </w:rPr>
          <w:t>第一部分：</w:t>
        </w:r>
        <w:r w:rsidR="002E360D" w:rsidRPr="001F1BC5">
          <w:rPr>
            <w:rStyle w:val="a6"/>
            <w:sz w:val="24"/>
            <w:szCs w:val="24"/>
          </w:rPr>
          <w:t>2012</w:t>
        </w:r>
        <w:r w:rsidR="002E360D" w:rsidRPr="001F1BC5">
          <w:rPr>
            <w:rStyle w:val="a6"/>
            <w:rFonts w:hint="eastAsia"/>
            <w:sz w:val="24"/>
            <w:szCs w:val="24"/>
          </w:rPr>
          <w:t>年至</w:t>
        </w:r>
        <w:r w:rsidR="002E360D" w:rsidRPr="001F1BC5">
          <w:rPr>
            <w:rStyle w:val="a6"/>
            <w:sz w:val="24"/>
            <w:szCs w:val="24"/>
          </w:rPr>
          <w:t>2015</w:t>
        </w:r>
        <w:r w:rsidR="002E360D" w:rsidRPr="001F1BC5">
          <w:rPr>
            <w:rStyle w:val="a6"/>
            <w:rFonts w:hint="eastAsia"/>
            <w:sz w:val="24"/>
            <w:szCs w:val="24"/>
          </w:rPr>
          <w:t>年电力勘测设计行业</w:t>
        </w:r>
        <w:r w:rsidR="00566D33">
          <w:rPr>
            <w:rStyle w:val="a6"/>
            <w:rFonts w:hint="eastAsia"/>
            <w:sz w:val="24"/>
            <w:szCs w:val="24"/>
          </w:rPr>
          <w:t>统计</w:t>
        </w:r>
        <w:r w:rsidR="002E360D" w:rsidRPr="001F1BC5">
          <w:rPr>
            <w:rStyle w:val="a6"/>
            <w:rFonts w:hint="eastAsia"/>
            <w:sz w:val="24"/>
            <w:szCs w:val="24"/>
          </w:rPr>
          <w:t>指标分析报告</w:t>
        </w:r>
        <w:r w:rsidR="002E360D" w:rsidRPr="001F1BC5">
          <w:rPr>
            <w:webHidden/>
            <w:sz w:val="24"/>
            <w:szCs w:val="24"/>
          </w:rPr>
          <w:tab/>
        </w:r>
        <w:r w:rsidRPr="001F1BC5">
          <w:rPr>
            <w:webHidden/>
            <w:sz w:val="24"/>
            <w:szCs w:val="24"/>
          </w:rPr>
          <w:fldChar w:fldCharType="begin"/>
        </w:r>
        <w:r w:rsidR="002E360D" w:rsidRPr="001F1BC5">
          <w:rPr>
            <w:webHidden/>
            <w:sz w:val="24"/>
            <w:szCs w:val="24"/>
          </w:rPr>
          <w:instrText xml:space="preserve"> PAGEREF _Toc450668435 \h </w:instrText>
        </w:r>
        <w:r w:rsidRPr="001F1BC5">
          <w:rPr>
            <w:webHidden/>
            <w:sz w:val="24"/>
            <w:szCs w:val="24"/>
          </w:rPr>
        </w:r>
        <w:r w:rsidRPr="001F1BC5">
          <w:rPr>
            <w:webHidden/>
            <w:sz w:val="24"/>
            <w:szCs w:val="24"/>
          </w:rPr>
          <w:fldChar w:fldCharType="separate"/>
        </w:r>
        <w:r w:rsidR="00760CF6">
          <w:rPr>
            <w:webHidden/>
            <w:sz w:val="24"/>
            <w:szCs w:val="24"/>
          </w:rPr>
          <w:t>1</w:t>
        </w:r>
        <w:r w:rsidRPr="001F1BC5">
          <w:rPr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36" w:history="1"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  <w:szCs w:val="24"/>
          </w:rPr>
          <w:t>一、行业规模指标分析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_Toc450668436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3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37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1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、职工人数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_Toc450668437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38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2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、拥有资产总额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_Toc450668438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39" w:history="1"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  <w:szCs w:val="24"/>
          </w:rPr>
          <w:t>二、企业生产经营指标分析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_Toc450668439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7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0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1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、新签合同额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_Toc450668440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7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1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2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、境外新签合同额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_Toc450668441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13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2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3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、完成产值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_Toc450668442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17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43" w:history="1"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  <w:szCs w:val="24"/>
          </w:rPr>
          <w:t>三、财务指标分析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_Toc450668443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19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4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1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、营业收入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_Toc450668444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19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5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2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、境外营业收入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_Toc450668445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25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6" w:history="1">
        <w:r w:rsidR="002E360D" w:rsidRPr="001F1BC5">
          <w:rPr>
            <w:rStyle w:val="a6"/>
            <w:rFonts w:asciiTheme="majorEastAsia" w:eastAsiaTheme="majorEastAsia" w:hAnsiTheme="majorEastAsia"/>
            <w:noProof/>
            <w:kern w:val="0"/>
            <w:sz w:val="24"/>
          </w:rPr>
          <w:t>3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kern w:val="0"/>
            <w:sz w:val="24"/>
          </w:rPr>
          <w:t>、利润总额及净利润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_Toc450668446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30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47" w:history="1">
        <w:r w:rsidR="002E360D" w:rsidRPr="001F1BC5">
          <w:rPr>
            <w:rStyle w:val="a6"/>
            <w:rFonts w:asciiTheme="majorEastAsia" w:eastAsiaTheme="majorEastAsia" w:hAnsiTheme="majorEastAsia"/>
            <w:noProof/>
            <w:kern w:val="0"/>
            <w:sz w:val="24"/>
          </w:rPr>
          <w:t>4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kern w:val="0"/>
            <w:sz w:val="24"/>
          </w:rPr>
          <w:t>、经济增加值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_Toc450668447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33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48" w:history="1"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  <w:szCs w:val="24"/>
          </w:rPr>
          <w:t>四、人力资源指标分析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_Toc450668448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34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49" w:history="1"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  <w:szCs w:val="24"/>
          </w:rPr>
          <w:t>五、技术水平指标分析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_Toc450668449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37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0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1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、拥有专利技术及专有技术数量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_Toc450668450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37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1" w:history="1">
        <w:r w:rsidR="002E360D" w:rsidRPr="001F1BC5">
          <w:rPr>
            <w:rStyle w:val="a6"/>
            <w:rFonts w:asciiTheme="majorEastAsia" w:eastAsiaTheme="majorEastAsia" w:hAnsiTheme="majorEastAsia"/>
            <w:noProof/>
            <w:sz w:val="24"/>
          </w:rPr>
          <w:t>2</w:t>
        </w:r>
        <w:r w:rsidR="002E360D" w:rsidRPr="001F1BC5">
          <w:rPr>
            <w:rStyle w:val="a6"/>
            <w:rFonts w:asciiTheme="majorEastAsia" w:eastAsiaTheme="majorEastAsia" w:hAnsiTheme="majorEastAsia" w:hint="eastAsia"/>
            <w:noProof/>
            <w:sz w:val="24"/>
          </w:rPr>
          <w:t>、获奖情况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_Toc450668451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40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10"/>
        <w:spacing w:line="276" w:lineRule="auto"/>
        <w:rPr>
          <w:sz w:val="24"/>
          <w:szCs w:val="24"/>
        </w:rPr>
      </w:pPr>
      <w:hyperlink w:anchor="_Toc450668452" w:history="1">
        <w:r w:rsidR="002E360D" w:rsidRPr="001F1BC5">
          <w:rPr>
            <w:rStyle w:val="a6"/>
            <w:rFonts w:hint="eastAsia"/>
            <w:sz w:val="24"/>
            <w:szCs w:val="24"/>
          </w:rPr>
          <w:t>第二部分：</w:t>
        </w:r>
        <w:r w:rsidR="002E360D" w:rsidRPr="001F1BC5">
          <w:rPr>
            <w:rStyle w:val="a6"/>
            <w:sz w:val="24"/>
            <w:szCs w:val="24"/>
          </w:rPr>
          <w:t>2015</w:t>
        </w:r>
        <w:r w:rsidR="002E360D" w:rsidRPr="001F1BC5">
          <w:rPr>
            <w:rStyle w:val="a6"/>
            <w:rFonts w:hint="eastAsia"/>
            <w:sz w:val="24"/>
            <w:szCs w:val="24"/>
          </w:rPr>
          <w:t>年度电力勘测设计统计年报分析报告</w:t>
        </w:r>
        <w:r w:rsidR="002E360D" w:rsidRPr="001F1BC5">
          <w:rPr>
            <w:webHidden/>
            <w:sz w:val="24"/>
            <w:szCs w:val="24"/>
          </w:rPr>
          <w:tab/>
        </w:r>
        <w:r w:rsidRPr="001F1BC5">
          <w:rPr>
            <w:webHidden/>
            <w:sz w:val="24"/>
            <w:szCs w:val="24"/>
          </w:rPr>
          <w:fldChar w:fldCharType="begin"/>
        </w:r>
        <w:r w:rsidR="002E360D" w:rsidRPr="001F1BC5">
          <w:rPr>
            <w:webHidden/>
            <w:sz w:val="24"/>
            <w:szCs w:val="24"/>
          </w:rPr>
          <w:instrText xml:space="preserve"> PAGEREF _Toc450668452 \h </w:instrText>
        </w:r>
        <w:r w:rsidRPr="001F1BC5">
          <w:rPr>
            <w:webHidden/>
            <w:sz w:val="24"/>
            <w:szCs w:val="24"/>
          </w:rPr>
        </w:r>
        <w:r w:rsidRPr="001F1BC5">
          <w:rPr>
            <w:webHidden/>
            <w:sz w:val="24"/>
            <w:szCs w:val="24"/>
          </w:rPr>
          <w:fldChar w:fldCharType="separate"/>
        </w:r>
        <w:r w:rsidR="00760CF6">
          <w:rPr>
            <w:webHidden/>
            <w:sz w:val="24"/>
            <w:szCs w:val="24"/>
          </w:rPr>
          <w:t>43</w:t>
        </w:r>
        <w:r w:rsidRPr="001F1BC5">
          <w:rPr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53" w:history="1">
        <w:r w:rsidR="002E360D" w:rsidRPr="001F1BC5">
          <w:rPr>
            <w:rStyle w:val="a6"/>
            <w:rFonts w:ascii="宋体" w:hAnsi="宋体" w:hint="eastAsia"/>
            <w:noProof/>
            <w:sz w:val="24"/>
            <w:szCs w:val="24"/>
          </w:rPr>
          <w:t>一、重要生产经营总体指标分析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_Toc450668453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44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54" w:history="1">
        <w:r w:rsidR="002E360D" w:rsidRPr="001F1BC5">
          <w:rPr>
            <w:rStyle w:val="a6"/>
            <w:rFonts w:ascii="宋体" w:hAnsi="宋体" w:hint="eastAsia"/>
            <w:noProof/>
            <w:sz w:val="24"/>
            <w:szCs w:val="24"/>
          </w:rPr>
          <w:t>二、主要指标发展趋势分析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_Toc450668454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52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5" w:history="1">
        <w:r w:rsidR="002E360D" w:rsidRPr="001F1BC5">
          <w:rPr>
            <w:rStyle w:val="a6"/>
            <w:rFonts w:ascii="宋体" w:hAnsi="宋体"/>
            <w:noProof/>
            <w:sz w:val="24"/>
          </w:rPr>
          <w:t>1.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新签合同总额发展趋势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_Toc450668455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52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6" w:history="1">
        <w:r w:rsidR="002E360D" w:rsidRPr="001F1BC5">
          <w:rPr>
            <w:rStyle w:val="a6"/>
            <w:rFonts w:ascii="宋体" w:hAnsi="宋体"/>
            <w:noProof/>
            <w:sz w:val="24"/>
          </w:rPr>
          <w:t>2.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各类业务新签合同额发展趋势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_Toc450668456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7" w:history="1">
        <w:r w:rsidR="002E360D" w:rsidRPr="001F1BC5">
          <w:rPr>
            <w:rStyle w:val="a6"/>
            <w:rFonts w:ascii="宋体" w:hAnsi="宋体"/>
            <w:noProof/>
            <w:sz w:val="24"/>
          </w:rPr>
          <w:t>3.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完成产值趋势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_Toc450668457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55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58" w:history="1">
        <w:r w:rsidR="002E360D" w:rsidRPr="001F1BC5">
          <w:rPr>
            <w:rStyle w:val="a6"/>
            <w:rFonts w:ascii="宋体" w:hAnsi="宋体"/>
            <w:noProof/>
            <w:sz w:val="24"/>
          </w:rPr>
          <w:t>4.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营业收入趋势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_Toc450668458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56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59" w:history="1">
        <w:r w:rsidR="002E360D" w:rsidRPr="001F1BC5">
          <w:rPr>
            <w:rStyle w:val="a6"/>
            <w:rFonts w:ascii="宋体" w:hAnsi="宋体" w:hint="eastAsia"/>
            <w:noProof/>
            <w:sz w:val="24"/>
            <w:szCs w:val="24"/>
          </w:rPr>
          <w:t>三、按隶属等级统计指标分析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_Toc450668459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58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0" w:history="1">
        <w:r w:rsidR="002E360D" w:rsidRPr="001F1BC5">
          <w:rPr>
            <w:rStyle w:val="a6"/>
            <w:rFonts w:ascii="宋体" w:hAnsi="宋体"/>
            <w:noProof/>
            <w:sz w:val="24"/>
          </w:rPr>
          <w:t>1.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人力资源情况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_Toc450668460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58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1" w:history="1">
        <w:r w:rsidR="002E360D" w:rsidRPr="001F1BC5">
          <w:rPr>
            <w:rStyle w:val="a6"/>
            <w:rFonts w:ascii="宋体" w:hAnsi="宋体"/>
            <w:noProof/>
            <w:sz w:val="24"/>
          </w:rPr>
          <w:t>2.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签订合同情况分析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_Toc450668461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67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2" w:history="1">
        <w:r w:rsidR="002E360D" w:rsidRPr="001F1BC5">
          <w:rPr>
            <w:rStyle w:val="a6"/>
            <w:rFonts w:ascii="宋体" w:hAnsi="宋体"/>
            <w:noProof/>
            <w:sz w:val="24"/>
          </w:rPr>
          <w:t>3.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完成产值情况分析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_Toc450668462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71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3" w:history="1">
        <w:r w:rsidR="002E360D" w:rsidRPr="001F1BC5">
          <w:rPr>
            <w:rStyle w:val="a6"/>
            <w:rFonts w:ascii="宋体" w:hAnsi="宋体"/>
            <w:noProof/>
            <w:sz w:val="24"/>
          </w:rPr>
          <w:t>4.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财务主要指标分析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_Toc450668463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73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4" w:history="1">
        <w:r w:rsidR="002E360D" w:rsidRPr="001F1BC5">
          <w:rPr>
            <w:rStyle w:val="a6"/>
            <w:rFonts w:ascii="宋体" w:hAnsi="宋体"/>
            <w:noProof/>
            <w:sz w:val="24"/>
          </w:rPr>
          <w:t>5.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工程总承包业务分析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_Toc450668464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75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5" w:history="1">
        <w:r w:rsidR="002E360D" w:rsidRPr="001F1BC5">
          <w:rPr>
            <w:rStyle w:val="a6"/>
            <w:rFonts w:ascii="宋体" w:hAnsi="宋体"/>
            <w:noProof/>
            <w:sz w:val="24"/>
          </w:rPr>
          <w:t>6.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工程阶段项目设计容量完成情况分析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_Toc450668465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76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20"/>
        <w:spacing w:line="276" w:lineRule="auto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450668466" w:history="1">
        <w:r w:rsidR="002E360D" w:rsidRPr="001F1BC5">
          <w:rPr>
            <w:rStyle w:val="a6"/>
            <w:rFonts w:ascii="宋体" w:hAnsi="宋体" w:hint="eastAsia"/>
            <w:noProof/>
            <w:sz w:val="24"/>
            <w:szCs w:val="24"/>
          </w:rPr>
          <w:t>四、按所属集团统计指标分析</w:t>
        </w:r>
        <w:r w:rsidR="002E360D" w:rsidRPr="001F1BC5">
          <w:rPr>
            <w:noProof/>
            <w:webHidden/>
            <w:sz w:val="24"/>
            <w:szCs w:val="24"/>
          </w:rPr>
          <w:tab/>
        </w:r>
        <w:r w:rsidRPr="001F1BC5">
          <w:rPr>
            <w:noProof/>
            <w:webHidden/>
            <w:sz w:val="24"/>
            <w:szCs w:val="24"/>
          </w:rPr>
          <w:fldChar w:fldCharType="begin"/>
        </w:r>
        <w:r w:rsidR="002E360D" w:rsidRPr="001F1BC5">
          <w:rPr>
            <w:noProof/>
            <w:webHidden/>
            <w:sz w:val="24"/>
            <w:szCs w:val="24"/>
          </w:rPr>
          <w:instrText xml:space="preserve"> PAGEREF _Toc450668466 \h </w:instrText>
        </w:r>
        <w:r w:rsidRPr="001F1BC5">
          <w:rPr>
            <w:noProof/>
            <w:webHidden/>
            <w:sz w:val="24"/>
            <w:szCs w:val="24"/>
          </w:rPr>
        </w:r>
        <w:r w:rsidRPr="001F1BC5">
          <w:rPr>
            <w:noProof/>
            <w:webHidden/>
            <w:sz w:val="24"/>
            <w:szCs w:val="24"/>
          </w:rPr>
          <w:fldChar w:fldCharType="separate"/>
        </w:r>
        <w:r w:rsidR="00760CF6">
          <w:rPr>
            <w:noProof/>
            <w:webHidden/>
            <w:sz w:val="24"/>
            <w:szCs w:val="24"/>
          </w:rPr>
          <w:t>84</w:t>
        </w:r>
        <w:r w:rsidRPr="001F1BC5">
          <w:rPr>
            <w:noProof/>
            <w:webHidden/>
            <w:sz w:val="24"/>
            <w:szCs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7" w:history="1">
        <w:r w:rsidR="002E360D" w:rsidRPr="001F1BC5">
          <w:rPr>
            <w:rStyle w:val="a6"/>
            <w:rFonts w:ascii="宋体" w:hAnsi="宋体"/>
            <w:noProof/>
            <w:sz w:val="24"/>
          </w:rPr>
          <w:t>1.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人力资源情况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_Toc450668467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84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8" w:history="1">
        <w:r w:rsidR="002E360D" w:rsidRPr="001F1BC5">
          <w:rPr>
            <w:rStyle w:val="a6"/>
            <w:rFonts w:ascii="宋体" w:hAnsi="宋体"/>
            <w:noProof/>
            <w:sz w:val="24"/>
          </w:rPr>
          <w:t>2.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签订合同情况分析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_Toc450668468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93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69" w:history="1">
        <w:r w:rsidR="002E360D" w:rsidRPr="001F1BC5">
          <w:rPr>
            <w:rStyle w:val="a6"/>
            <w:rFonts w:ascii="宋体" w:hAnsi="宋体"/>
            <w:noProof/>
            <w:sz w:val="24"/>
          </w:rPr>
          <w:t>3.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完成产值情况分析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_Toc450668469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97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70" w:history="1">
        <w:r w:rsidR="002E360D" w:rsidRPr="001F1BC5">
          <w:rPr>
            <w:rStyle w:val="a6"/>
            <w:rFonts w:ascii="宋体" w:hAnsi="宋体"/>
            <w:noProof/>
            <w:sz w:val="24"/>
          </w:rPr>
          <w:t>4.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财务主要指标分析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_Toc450668470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99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71" w:history="1">
        <w:r w:rsidR="002E360D" w:rsidRPr="001F1BC5">
          <w:rPr>
            <w:rStyle w:val="a6"/>
            <w:rFonts w:ascii="宋体" w:hAnsi="宋体"/>
            <w:noProof/>
            <w:sz w:val="24"/>
          </w:rPr>
          <w:t>5.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工程总承包业务分析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_Toc450668471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101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2E360D" w:rsidRPr="001F1BC5" w:rsidRDefault="000F59FD" w:rsidP="00A04D2F">
      <w:pPr>
        <w:pStyle w:val="30"/>
        <w:spacing w:line="276" w:lineRule="auto"/>
        <w:rPr>
          <w:rFonts w:asciiTheme="minorHAnsi" w:eastAsiaTheme="minorEastAsia" w:hAnsiTheme="minorHAnsi" w:cstheme="minorBidi"/>
          <w:noProof/>
          <w:sz w:val="24"/>
        </w:rPr>
      </w:pPr>
      <w:hyperlink w:anchor="_Toc450668472" w:history="1">
        <w:r w:rsidR="002E360D" w:rsidRPr="001F1BC5">
          <w:rPr>
            <w:rStyle w:val="a6"/>
            <w:rFonts w:ascii="宋体" w:hAnsi="宋体"/>
            <w:noProof/>
            <w:sz w:val="24"/>
          </w:rPr>
          <w:t>6.</w:t>
        </w:r>
        <w:r w:rsidR="002E360D" w:rsidRPr="001F1BC5">
          <w:rPr>
            <w:rFonts w:asciiTheme="minorHAnsi" w:eastAsiaTheme="minorEastAsia" w:hAnsiTheme="minorHAnsi" w:cstheme="minorBidi"/>
            <w:noProof/>
            <w:sz w:val="24"/>
          </w:rPr>
          <w:tab/>
        </w:r>
        <w:r w:rsidR="002E360D" w:rsidRPr="001F1BC5">
          <w:rPr>
            <w:rStyle w:val="a6"/>
            <w:rFonts w:ascii="宋体" w:hAnsi="宋体" w:hint="eastAsia"/>
            <w:noProof/>
            <w:sz w:val="24"/>
          </w:rPr>
          <w:t>工程阶段项目设计容量完成情况分析</w:t>
        </w:r>
        <w:r w:rsidR="002E360D" w:rsidRPr="001F1BC5">
          <w:rPr>
            <w:noProof/>
            <w:webHidden/>
            <w:sz w:val="24"/>
          </w:rPr>
          <w:tab/>
        </w:r>
        <w:r w:rsidRPr="001F1BC5">
          <w:rPr>
            <w:noProof/>
            <w:webHidden/>
            <w:sz w:val="24"/>
          </w:rPr>
          <w:fldChar w:fldCharType="begin"/>
        </w:r>
        <w:r w:rsidR="002E360D" w:rsidRPr="001F1BC5">
          <w:rPr>
            <w:noProof/>
            <w:webHidden/>
            <w:sz w:val="24"/>
          </w:rPr>
          <w:instrText xml:space="preserve"> PAGEREF _Toc450668472 \h </w:instrText>
        </w:r>
        <w:r w:rsidRPr="001F1BC5">
          <w:rPr>
            <w:noProof/>
            <w:webHidden/>
            <w:sz w:val="24"/>
          </w:rPr>
        </w:r>
        <w:r w:rsidRPr="001F1BC5">
          <w:rPr>
            <w:noProof/>
            <w:webHidden/>
            <w:sz w:val="24"/>
          </w:rPr>
          <w:fldChar w:fldCharType="separate"/>
        </w:r>
        <w:r w:rsidR="00760CF6">
          <w:rPr>
            <w:noProof/>
            <w:webHidden/>
            <w:sz w:val="24"/>
          </w:rPr>
          <w:t>102</w:t>
        </w:r>
        <w:r w:rsidRPr="001F1BC5">
          <w:rPr>
            <w:noProof/>
            <w:webHidden/>
            <w:sz w:val="24"/>
          </w:rPr>
          <w:fldChar w:fldCharType="end"/>
        </w:r>
      </w:hyperlink>
    </w:p>
    <w:p w:rsidR="00C15F2D" w:rsidRPr="002C5D67" w:rsidRDefault="000F59FD" w:rsidP="00A04D2F">
      <w:pPr>
        <w:spacing w:line="276" w:lineRule="auto"/>
        <w:jc w:val="center"/>
        <w:rPr>
          <w:rFonts w:ascii="宋体" w:hAnsi="宋体"/>
          <w:b/>
          <w:sz w:val="32"/>
          <w:szCs w:val="32"/>
        </w:rPr>
        <w:sectPr w:rsidR="00C15F2D" w:rsidRPr="002C5D67" w:rsidSect="00C15F2D">
          <w:headerReference w:type="first" r:id="rId14"/>
          <w:pgSz w:w="11906" w:h="16838"/>
          <w:pgMar w:top="1134" w:right="1797" w:bottom="1440" w:left="1797" w:header="851" w:footer="992" w:gutter="0"/>
          <w:pgNumType w:start="0"/>
          <w:cols w:space="425"/>
          <w:titlePg/>
          <w:docGrid w:type="lines" w:linePitch="312"/>
        </w:sectPr>
      </w:pPr>
      <w:r w:rsidRPr="001F1BC5">
        <w:rPr>
          <w:rFonts w:ascii="宋体" w:hAnsi="宋体"/>
          <w:b/>
          <w:sz w:val="24"/>
        </w:rPr>
        <w:fldChar w:fldCharType="end"/>
      </w:r>
      <w:fldSimple w:instr=" TOA  \* MERGEFORMAT "/>
    </w:p>
    <w:p w:rsidR="00551DDA" w:rsidRPr="00551DDA" w:rsidRDefault="00551DDA" w:rsidP="002958AE">
      <w:pPr>
        <w:pStyle w:val="1"/>
        <w:jc w:val="center"/>
        <w:rPr>
          <w:sz w:val="32"/>
          <w:szCs w:val="32"/>
        </w:rPr>
      </w:pPr>
      <w:bookmarkStart w:id="3" w:name="_Toc450668435"/>
      <w:r w:rsidRPr="00551DDA">
        <w:rPr>
          <w:rFonts w:hint="eastAsia"/>
          <w:sz w:val="32"/>
          <w:szCs w:val="32"/>
        </w:rPr>
        <w:lastRenderedPageBreak/>
        <w:t>第一部分：</w:t>
      </w:r>
      <w:r w:rsidRPr="00551DDA">
        <w:rPr>
          <w:rFonts w:hint="eastAsia"/>
          <w:sz w:val="32"/>
          <w:szCs w:val="32"/>
        </w:rPr>
        <w:t>2012</w:t>
      </w:r>
      <w:r w:rsidRPr="00551DDA">
        <w:rPr>
          <w:rFonts w:hint="eastAsia"/>
          <w:sz w:val="32"/>
          <w:szCs w:val="32"/>
        </w:rPr>
        <w:t>年至</w:t>
      </w:r>
      <w:r w:rsidRPr="00551DDA">
        <w:rPr>
          <w:rFonts w:hint="eastAsia"/>
          <w:sz w:val="32"/>
          <w:szCs w:val="32"/>
        </w:rPr>
        <w:t>2015</w:t>
      </w:r>
      <w:r w:rsidRPr="00551DDA">
        <w:rPr>
          <w:rFonts w:hint="eastAsia"/>
          <w:sz w:val="32"/>
          <w:szCs w:val="32"/>
        </w:rPr>
        <w:t>年电力勘测设计行业</w:t>
      </w:r>
      <w:r w:rsidR="00BD0791">
        <w:rPr>
          <w:rFonts w:hint="eastAsia"/>
          <w:sz w:val="32"/>
          <w:szCs w:val="32"/>
        </w:rPr>
        <w:t>统计</w:t>
      </w:r>
      <w:r w:rsidRPr="00551DDA">
        <w:rPr>
          <w:rFonts w:hint="eastAsia"/>
          <w:sz w:val="32"/>
          <w:szCs w:val="32"/>
        </w:rPr>
        <w:t>指标分析报告</w:t>
      </w:r>
      <w:bookmarkEnd w:id="3"/>
    </w:p>
    <w:p w:rsidR="002958AE" w:rsidRDefault="00945001" w:rsidP="00B304A8">
      <w:pPr>
        <w:spacing w:line="360" w:lineRule="auto"/>
        <w:ind w:firstLine="555"/>
        <w:rPr>
          <w:sz w:val="28"/>
          <w:szCs w:val="28"/>
        </w:rPr>
      </w:pPr>
      <w:r w:rsidRPr="00B304A8">
        <w:rPr>
          <w:rFonts w:hint="eastAsia"/>
          <w:sz w:val="28"/>
          <w:szCs w:val="28"/>
        </w:rPr>
        <w:t>为全面反映电力勘测设计行业的现状、发展水平和趋势，协会按年度计划积极开展统计对标工作，及时掌握行业发展状况，为各级领导充分了解和</w:t>
      </w:r>
      <w:r w:rsidR="00B304A8" w:rsidRPr="00B304A8">
        <w:rPr>
          <w:rFonts w:hint="eastAsia"/>
          <w:sz w:val="28"/>
          <w:szCs w:val="28"/>
        </w:rPr>
        <w:t>把握</w:t>
      </w:r>
      <w:r w:rsidRPr="00B304A8">
        <w:rPr>
          <w:rFonts w:hint="eastAsia"/>
          <w:sz w:val="28"/>
          <w:szCs w:val="28"/>
        </w:rPr>
        <w:t>行业发展</w:t>
      </w:r>
      <w:r w:rsidR="00B304A8" w:rsidRPr="00B304A8">
        <w:rPr>
          <w:rFonts w:hint="eastAsia"/>
          <w:sz w:val="28"/>
          <w:szCs w:val="28"/>
        </w:rPr>
        <w:t>情况</w:t>
      </w:r>
      <w:r w:rsidRPr="00B304A8">
        <w:rPr>
          <w:rFonts w:hint="eastAsia"/>
          <w:sz w:val="28"/>
          <w:szCs w:val="28"/>
        </w:rPr>
        <w:t>提供了真实</w:t>
      </w:r>
      <w:r w:rsidR="00B304A8">
        <w:rPr>
          <w:rFonts w:hint="eastAsia"/>
          <w:sz w:val="28"/>
          <w:szCs w:val="28"/>
        </w:rPr>
        <w:t>、</w:t>
      </w:r>
      <w:r w:rsidRPr="00B304A8">
        <w:rPr>
          <w:rFonts w:hint="eastAsia"/>
          <w:sz w:val="28"/>
          <w:szCs w:val="28"/>
        </w:rPr>
        <w:t>详实的、有价值的第一手资料</w:t>
      </w:r>
      <w:r w:rsidR="00B304A8" w:rsidRPr="00B304A8">
        <w:rPr>
          <w:rFonts w:hint="eastAsia"/>
          <w:sz w:val="28"/>
          <w:szCs w:val="28"/>
        </w:rPr>
        <w:t>。</w:t>
      </w:r>
      <w:r w:rsidR="001A7032">
        <w:rPr>
          <w:rFonts w:hint="eastAsia"/>
          <w:sz w:val="28"/>
          <w:szCs w:val="28"/>
        </w:rPr>
        <w:t>为</w:t>
      </w:r>
      <w:r w:rsidR="00B304A8">
        <w:rPr>
          <w:rFonts w:hint="eastAsia"/>
          <w:sz w:val="28"/>
          <w:szCs w:val="28"/>
        </w:rPr>
        <w:t>便于分析和掌握</w:t>
      </w:r>
      <w:r w:rsidR="001A7032">
        <w:rPr>
          <w:rFonts w:hint="eastAsia"/>
          <w:sz w:val="28"/>
          <w:szCs w:val="28"/>
        </w:rPr>
        <w:t>2012</w:t>
      </w:r>
      <w:r w:rsidR="001A7032">
        <w:rPr>
          <w:rFonts w:hint="eastAsia"/>
          <w:sz w:val="28"/>
          <w:szCs w:val="28"/>
        </w:rPr>
        <w:t>年至</w:t>
      </w:r>
      <w:r w:rsidR="001A7032">
        <w:rPr>
          <w:rFonts w:hint="eastAsia"/>
          <w:sz w:val="28"/>
          <w:szCs w:val="28"/>
        </w:rPr>
        <w:t>2015</w:t>
      </w:r>
      <w:r w:rsidR="001A7032">
        <w:rPr>
          <w:rFonts w:hint="eastAsia"/>
          <w:sz w:val="28"/>
          <w:szCs w:val="28"/>
        </w:rPr>
        <w:t>年四年</w:t>
      </w:r>
      <w:r w:rsidR="007472E8">
        <w:rPr>
          <w:rFonts w:hint="eastAsia"/>
          <w:sz w:val="28"/>
          <w:szCs w:val="28"/>
        </w:rPr>
        <w:t>的</w:t>
      </w:r>
      <w:r w:rsidR="00566D33">
        <w:rPr>
          <w:rFonts w:hint="eastAsia"/>
          <w:sz w:val="28"/>
          <w:szCs w:val="28"/>
        </w:rPr>
        <w:t>电力勘测设计行业发展情况，我</w:t>
      </w:r>
      <w:r w:rsidR="001A7032">
        <w:rPr>
          <w:rFonts w:hint="eastAsia"/>
          <w:sz w:val="28"/>
          <w:szCs w:val="28"/>
        </w:rPr>
        <w:t>会根据历年统计报表</w:t>
      </w:r>
      <w:r w:rsidR="00233DDD">
        <w:rPr>
          <w:rFonts w:hint="eastAsia"/>
          <w:sz w:val="28"/>
          <w:szCs w:val="28"/>
        </w:rPr>
        <w:t>的主要</w:t>
      </w:r>
      <w:r w:rsidR="001A7032">
        <w:rPr>
          <w:rFonts w:hint="eastAsia"/>
          <w:sz w:val="28"/>
          <w:szCs w:val="28"/>
        </w:rPr>
        <w:t>数据，</w:t>
      </w:r>
      <w:r w:rsidR="00B304A8">
        <w:rPr>
          <w:rFonts w:hint="eastAsia"/>
          <w:sz w:val="28"/>
          <w:szCs w:val="28"/>
        </w:rPr>
        <w:t>汇</w:t>
      </w:r>
      <w:r w:rsidR="001A7032">
        <w:rPr>
          <w:rFonts w:hint="eastAsia"/>
          <w:sz w:val="28"/>
          <w:szCs w:val="28"/>
        </w:rPr>
        <w:t>制了</w:t>
      </w:r>
      <w:r w:rsidR="001A7032">
        <w:rPr>
          <w:rFonts w:hint="eastAsia"/>
          <w:sz w:val="28"/>
          <w:szCs w:val="28"/>
        </w:rPr>
        <w:t>2012</w:t>
      </w:r>
      <w:r w:rsidR="001A7032">
        <w:rPr>
          <w:rFonts w:hint="eastAsia"/>
          <w:sz w:val="28"/>
          <w:szCs w:val="28"/>
        </w:rPr>
        <w:t>年至</w:t>
      </w:r>
      <w:r w:rsidR="001A7032">
        <w:rPr>
          <w:rFonts w:hint="eastAsia"/>
          <w:sz w:val="28"/>
          <w:szCs w:val="28"/>
        </w:rPr>
        <w:t>2015</w:t>
      </w:r>
      <w:r w:rsidR="001A7032">
        <w:rPr>
          <w:rFonts w:hint="eastAsia"/>
          <w:sz w:val="28"/>
          <w:szCs w:val="28"/>
        </w:rPr>
        <w:t>年统计指标分析报告。</w:t>
      </w:r>
      <w:r w:rsidR="00B304A8">
        <w:rPr>
          <w:rFonts w:hint="eastAsia"/>
          <w:sz w:val="28"/>
          <w:szCs w:val="28"/>
        </w:rPr>
        <w:t>其中，</w:t>
      </w:r>
      <w:r w:rsidR="00B304A8">
        <w:rPr>
          <w:rFonts w:hint="eastAsia"/>
          <w:sz w:val="28"/>
          <w:szCs w:val="28"/>
        </w:rPr>
        <w:t>2012</w:t>
      </w:r>
      <w:r w:rsidR="00B304A8">
        <w:rPr>
          <w:rFonts w:hint="eastAsia"/>
          <w:sz w:val="28"/>
          <w:szCs w:val="28"/>
        </w:rPr>
        <w:t>年度数据源自于协会统计的</w:t>
      </w:r>
      <w:r w:rsidR="00B304A8">
        <w:rPr>
          <w:rFonts w:hint="eastAsia"/>
          <w:sz w:val="28"/>
          <w:szCs w:val="28"/>
        </w:rPr>
        <w:t>2012</w:t>
      </w:r>
      <w:r w:rsidR="00B304A8">
        <w:rPr>
          <w:rFonts w:hint="eastAsia"/>
          <w:sz w:val="28"/>
          <w:szCs w:val="28"/>
        </w:rPr>
        <w:t>年度报表数据，</w:t>
      </w:r>
      <w:r w:rsidR="001363D6">
        <w:rPr>
          <w:rFonts w:hint="eastAsia"/>
          <w:sz w:val="28"/>
          <w:szCs w:val="28"/>
        </w:rPr>
        <w:t>共</w:t>
      </w:r>
      <w:r w:rsidR="00B304A8">
        <w:rPr>
          <w:rFonts w:hint="eastAsia"/>
          <w:sz w:val="28"/>
          <w:szCs w:val="28"/>
        </w:rPr>
        <w:t>含</w:t>
      </w:r>
      <w:r w:rsidR="00B304A8">
        <w:rPr>
          <w:rFonts w:hint="eastAsia"/>
          <w:sz w:val="28"/>
          <w:szCs w:val="28"/>
        </w:rPr>
        <w:t>101</w:t>
      </w:r>
      <w:r w:rsidR="00052910">
        <w:rPr>
          <w:rFonts w:hint="eastAsia"/>
          <w:sz w:val="28"/>
          <w:szCs w:val="28"/>
        </w:rPr>
        <w:t>家电力勘测设计单位上报的统计信息，包括：中电工程</w:t>
      </w:r>
      <w:r w:rsidR="00B304A8">
        <w:rPr>
          <w:rFonts w:hint="eastAsia"/>
          <w:sz w:val="28"/>
          <w:szCs w:val="28"/>
        </w:rPr>
        <w:t>7</w:t>
      </w:r>
      <w:r w:rsidR="00B304A8">
        <w:rPr>
          <w:rFonts w:hint="eastAsia"/>
          <w:sz w:val="28"/>
          <w:szCs w:val="28"/>
        </w:rPr>
        <w:t>家单位，省级设计院</w:t>
      </w:r>
      <w:r w:rsidR="00B304A8">
        <w:rPr>
          <w:rFonts w:hint="eastAsia"/>
          <w:sz w:val="28"/>
          <w:szCs w:val="28"/>
        </w:rPr>
        <w:t>33</w:t>
      </w:r>
      <w:r w:rsidR="00B304A8">
        <w:rPr>
          <w:rFonts w:hint="eastAsia"/>
          <w:sz w:val="28"/>
          <w:szCs w:val="28"/>
        </w:rPr>
        <w:t>家单位，供电及其它设计院</w:t>
      </w:r>
      <w:r w:rsidR="00B304A8">
        <w:rPr>
          <w:rFonts w:hint="eastAsia"/>
          <w:sz w:val="28"/>
          <w:szCs w:val="28"/>
        </w:rPr>
        <w:t>61</w:t>
      </w:r>
      <w:r w:rsidR="00B304A8">
        <w:rPr>
          <w:rFonts w:hint="eastAsia"/>
          <w:sz w:val="28"/>
          <w:szCs w:val="28"/>
        </w:rPr>
        <w:t>家单位；</w:t>
      </w:r>
      <w:r w:rsidR="00B304A8">
        <w:rPr>
          <w:rFonts w:hint="eastAsia"/>
          <w:sz w:val="28"/>
          <w:szCs w:val="28"/>
        </w:rPr>
        <w:t>2013</w:t>
      </w:r>
      <w:r w:rsidR="00B304A8">
        <w:rPr>
          <w:rFonts w:hint="eastAsia"/>
          <w:sz w:val="28"/>
          <w:szCs w:val="28"/>
        </w:rPr>
        <w:t>年度数据源自于协会统计的</w:t>
      </w:r>
      <w:r w:rsidR="00B304A8">
        <w:rPr>
          <w:rFonts w:hint="eastAsia"/>
          <w:sz w:val="28"/>
          <w:szCs w:val="28"/>
        </w:rPr>
        <w:t>2013</w:t>
      </w:r>
      <w:r w:rsidR="00B304A8">
        <w:rPr>
          <w:rFonts w:hint="eastAsia"/>
          <w:sz w:val="28"/>
          <w:szCs w:val="28"/>
        </w:rPr>
        <w:t>年度报表数据，</w:t>
      </w:r>
      <w:r w:rsidR="001363D6">
        <w:rPr>
          <w:rFonts w:hint="eastAsia"/>
          <w:sz w:val="28"/>
          <w:szCs w:val="28"/>
        </w:rPr>
        <w:t>共</w:t>
      </w:r>
      <w:r w:rsidR="00B304A8">
        <w:rPr>
          <w:rFonts w:hint="eastAsia"/>
          <w:sz w:val="28"/>
          <w:szCs w:val="28"/>
        </w:rPr>
        <w:t>含</w:t>
      </w:r>
      <w:r w:rsidR="00B304A8">
        <w:rPr>
          <w:rFonts w:hint="eastAsia"/>
          <w:sz w:val="28"/>
          <w:szCs w:val="28"/>
        </w:rPr>
        <w:t>102</w:t>
      </w:r>
      <w:r w:rsidR="00B304A8">
        <w:rPr>
          <w:rFonts w:hint="eastAsia"/>
          <w:sz w:val="28"/>
          <w:szCs w:val="28"/>
        </w:rPr>
        <w:t>家勘测设计单位上报的统计信息，包括：</w:t>
      </w:r>
      <w:r w:rsidR="00052910">
        <w:rPr>
          <w:rFonts w:hint="eastAsia"/>
          <w:sz w:val="28"/>
          <w:szCs w:val="28"/>
        </w:rPr>
        <w:t>中电工程</w:t>
      </w:r>
      <w:r w:rsidR="00B304A8">
        <w:rPr>
          <w:rFonts w:hint="eastAsia"/>
          <w:sz w:val="28"/>
          <w:szCs w:val="28"/>
        </w:rPr>
        <w:t>7</w:t>
      </w:r>
      <w:r w:rsidR="00B304A8">
        <w:rPr>
          <w:rFonts w:hint="eastAsia"/>
          <w:sz w:val="28"/>
          <w:szCs w:val="28"/>
        </w:rPr>
        <w:t>家单位，省属设计院</w:t>
      </w:r>
      <w:r w:rsidR="00B304A8">
        <w:rPr>
          <w:rFonts w:hint="eastAsia"/>
          <w:sz w:val="28"/>
          <w:szCs w:val="28"/>
        </w:rPr>
        <w:t>33</w:t>
      </w:r>
      <w:r w:rsidR="00B304A8">
        <w:rPr>
          <w:rFonts w:hint="eastAsia"/>
          <w:sz w:val="28"/>
          <w:szCs w:val="28"/>
        </w:rPr>
        <w:t>家单位，供电及其它设计院</w:t>
      </w:r>
      <w:r w:rsidR="00B304A8">
        <w:rPr>
          <w:rFonts w:hint="eastAsia"/>
          <w:sz w:val="28"/>
          <w:szCs w:val="28"/>
        </w:rPr>
        <w:t>62</w:t>
      </w:r>
      <w:r w:rsidR="00B304A8">
        <w:rPr>
          <w:rFonts w:hint="eastAsia"/>
          <w:sz w:val="28"/>
          <w:szCs w:val="28"/>
        </w:rPr>
        <w:t>家单位</w:t>
      </w:r>
      <w:r w:rsidR="001363D6">
        <w:rPr>
          <w:rFonts w:hint="eastAsia"/>
          <w:sz w:val="28"/>
          <w:szCs w:val="28"/>
        </w:rPr>
        <w:t>，</w:t>
      </w:r>
      <w:r w:rsidR="00B304A8">
        <w:rPr>
          <w:rFonts w:hint="eastAsia"/>
          <w:sz w:val="28"/>
          <w:szCs w:val="28"/>
        </w:rPr>
        <w:t>按所属集团分类</w:t>
      </w:r>
      <w:r w:rsidR="001363D6">
        <w:rPr>
          <w:rFonts w:hint="eastAsia"/>
          <w:sz w:val="28"/>
          <w:szCs w:val="28"/>
        </w:rPr>
        <w:t>，包括：中电工程</w:t>
      </w:r>
      <w:r w:rsidR="001363D6">
        <w:rPr>
          <w:rFonts w:hint="eastAsia"/>
          <w:sz w:val="28"/>
          <w:szCs w:val="28"/>
        </w:rPr>
        <w:t>7</w:t>
      </w:r>
      <w:r w:rsidR="001363D6">
        <w:rPr>
          <w:rFonts w:hint="eastAsia"/>
          <w:sz w:val="28"/>
          <w:szCs w:val="28"/>
        </w:rPr>
        <w:t>家，中能建集团</w:t>
      </w:r>
      <w:r w:rsidR="001363D6">
        <w:rPr>
          <w:rFonts w:hint="eastAsia"/>
          <w:sz w:val="28"/>
          <w:szCs w:val="28"/>
        </w:rPr>
        <w:t>14</w:t>
      </w:r>
      <w:r w:rsidR="001363D6">
        <w:rPr>
          <w:rFonts w:hint="eastAsia"/>
          <w:sz w:val="28"/>
          <w:szCs w:val="28"/>
        </w:rPr>
        <w:t>家，中电建集团</w:t>
      </w:r>
      <w:r w:rsidR="001363D6">
        <w:rPr>
          <w:rFonts w:hint="eastAsia"/>
          <w:sz w:val="28"/>
          <w:szCs w:val="28"/>
        </w:rPr>
        <w:t>11</w:t>
      </w:r>
      <w:r w:rsidR="001363D6">
        <w:rPr>
          <w:rFonts w:hint="eastAsia"/>
          <w:sz w:val="28"/>
          <w:szCs w:val="28"/>
        </w:rPr>
        <w:t>家，其它设计院</w:t>
      </w:r>
      <w:r w:rsidR="001363D6">
        <w:rPr>
          <w:rFonts w:hint="eastAsia"/>
          <w:sz w:val="28"/>
          <w:szCs w:val="28"/>
        </w:rPr>
        <w:t>70</w:t>
      </w:r>
      <w:r w:rsidR="001363D6">
        <w:rPr>
          <w:rFonts w:hint="eastAsia"/>
          <w:sz w:val="28"/>
          <w:szCs w:val="28"/>
        </w:rPr>
        <w:t>家；</w:t>
      </w:r>
      <w:r w:rsidR="001363D6">
        <w:rPr>
          <w:rFonts w:hint="eastAsia"/>
          <w:sz w:val="28"/>
          <w:szCs w:val="28"/>
        </w:rPr>
        <w:t>2014</w:t>
      </w:r>
      <w:r w:rsidR="001363D6">
        <w:rPr>
          <w:rFonts w:hint="eastAsia"/>
          <w:sz w:val="28"/>
          <w:szCs w:val="28"/>
        </w:rPr>
        <w:t>年度数据源自于协会统计的</w:t>
      </w:r>
      <w:r w:rsidR="001363D6">
        <w:rPr>
          <w:rFonts w:hint="eastAsia"/>
          <w:sz w:val="28"/>
          <w:szCs w:val="28"/>
        </w:rPr>
        <w:t>2014</w:t>
      </w:r>
      <w:r w:rsidR="001363D6">
        <w:rPr>
          <w:rFonts w:hint="eastAsia"/>
          <w:sz w:val="28"/>
          <w:szCs w:val="28"/>
        </w:rPr>
        <w:t>年度报表数据，共含</w:t>
      </w:r>
      <w:r w:rsidR="001363D6">
        <w:rPr>
          <w:rFonts w:hint="eastAsia"/>
          <w:sz w:val="28"/>
          <w:szCs w:val="28"/>
        </w:rPr>
        <w:t>98</w:t>
      </w:r>
      <w:r w:rsidR="001363D6">
        <w:rPr>
          <w:rFonts w:hint="eastAsia"/>
          <w:sz w:val="28"/>
          <w:szCs w:val="28"/>
        </w:rPr>
        <w:t>家勘测设计单位上报的统计信息</w:t>
      </w:r>
      <w:r w:rsidR="00656834">
        <w:rPr>
          <w:rFonts w:hint="eastAsia"/>
          <w:sz w:val="28"/>
          <w:szCs w:val="28"/>
        </w:rPr>
        <w:t>，</w:t>
      </w:r>
      <w:r w:rsidR="001363D6">
        <w:rPr>
          <w:rFonts w:hint="eastAsia"/>
          <w:sz w:val="28"/>
          <w:szCs w:val="28"/>
        </w:rPr>
        <w:t>按单位隶属等级划分，主要包括：</w:t>
      </w:r>
      <w:r w:rsidR="00052910">
        <w:rPr>
          <w:rFonts w:hint="eastAsia"/>
          <w:sz w:val="28"/>
          <w:szCs w:val="28"/>
        </w:rPr>
        <w:t>中电工程</w:t>
      </w:r>
      <w:r w:rsidR="001363D6">
        <w:rPr>
          <w:rFonts w:hint="eastAsia"/>
          <w:sz w:val="28"/>
          <w:szCs w:val="28"/>
        </w:rPr>
        <w:t>7</w:t>
      </w:r>
      <w:r w:rsidR="001363D6">
        <w:rPr>
          <w:rFonts w:hint="eastAsia"/>
          <w:sz w:val="28"/>
          <w:szCs w:val="28"/>
        </w:rPr>
        <w:t>家单位，省属设计院</w:t>
      </w:r>
      <w:r w:rsidR="001363D6">
        <w:rPr>
          <w:rFonts w:hint="eastAsia"/>
          <w:sz w:val="28"/>
          <w:szCs w:val="28"/>
        </w:rPr>
        <w:t>33</w:t>
      </w:r>
      <w:r w:rsidR="001363D6">
        <w:rPr>
          <w:rFonts w:hint="eastAsia"/>
          <w:sz w:val="28"/>
          <w:szCs w:val="28"/>
        </w:rPr>
        <w:t>家单位，供电及其它设计院</w:t>
      </w:r>
      <w:r w:rsidR="001363D6">
        <w:rPr>
          <w:rFonts w:hint="eastAsia"/>
          <w:sz w:val="28"/>
          <w:szCs w:val="28"/>
        </w:rPr>
        <w:t>58</w:t>
      </w:r>
      <w:r w:rsidR="001363D6">
        <w:rPr>
          <w:rFonts w:hint="eastAsia"/>
          <w:sz w:val="28"/>
          <w:szCs w:val="28"/>
        </w:rPr>
        <w:t>家单位</w:t>
      </w:r>
      <w:r w:rsidR="00656834">
        <w:rPr>
          <w:rFonts w:hint="eastAsia"/>
          <w:sz w:val="28"/>
          <w:szCs w:val="28"/>
        </w:rPr>
        <w:t>，</w:t>
      </w:r>
      <w:r w:rsidR="001363D6">
        <w:rPr>
          <w:rFonts w:hint="eastAsia"/>
          <w:sz w:val="28"/>
          <w:szCs w:val="28"/>
        </w:rPr>
        <w:t>按所属集团分类划分，主要包括：中电工程</w:t>
      </w:r>
      <w:r w:rsidR="001363D6">
        <w:rPr>
          <w:rFonts w:hint="eastAsia"/>
          <w:sz w:val="28"/>
          <w:szCs w:val="28"/>
        </w:rPr>
        <w:t>7</w:t>
      </w:r>
      <w:r w:rsidR="001363D6">
        <w:rPr>
          <w:rFonts w:hint="eastAsia"/>
          <w:sz w:val="28"/>
          <w:szCs w:val="28"/>
        </w:rPr>
        <w:t>家，中能建集团</w:t>
      </w:r>
      <w:r w:rsidR="001363D6">
        <w:rPr>
          <w:rFonts w:hint="eastAsia"/>
          <w:sz w:val="28"/>
          <w:szCs w:val="28"/>
        </w:rPr>
        <w:t>15</w:t>
      </w:r>
      <w:r w:rsidR="001363D6">
        <w:rPr>
          <w:rFonts w:hint="eastAsia"/>
          <w:sz w:val="28"/>
          <w:szCs w:val="28"/>
        </w:rPr>
        <w:t>家，中电建集团</w:t>
      </w:r>
      <w:r w:rsidR="001363D6">
        <w:rPr>
          <w:rFonts w:hint="eastAsia"/>
          <w:sz w:val="28"/>
          <w:szCs w:val="28"/>
        </w:rPr>
        <w:t>11</w:t>
      </w:r>
      <w:r w:rsidR="001363D6">
        <w:rPr>
          <w:rFonts w:hint="eastAsia"/>
          <w:sz w:val="28"/>
          <w:szCs w:val="28"/>
        </w:rPr>
        <w:t>家，供电及其它设计院</w:t>
      </w:r>
      <w:r w:rsidR="001363D6">
        <w:rPr>
          <w:rFonts w:hint="eastAsia"/>
          <w:sz w:val="28"/>
          <w:szCs w:val="28"/>
        </w:rPr>
        <w:t>65</w:t>
      </w:r>
      <w:r w:rsidR="001363D6">
        <w:rPr>
          <w:rFonts w:hint="eastAsia"/>
          <w:sz w:val="28"/>
          <w:szCs w:val="28"/>
        </w:rPr>
        <w:t>家；</w:t>
      </w:r>
      <w:r w:rsidR="001363D6">
        <w:rPr>
          <w:rFonts w:hint="eastAsia"/>
          <w:sz w:val="28"/>
          <w:szCs w:val="28"/>
        </w:rPr>
        <w:t>2015</w:t>
      </w:r>
      <w:r w:rsidR="00052910">
        <w:rPr>
          <w:rFonts w:hint="eastAsia"/>
          <w:sz w:val="28"/>
          <w:szCs w:val="28"/>
        </w:rPr>
        <w:t>年度数据</w:t>
      </w:r>
      <w:r w:rsidR="001363D6">
        <w:rPr>
          <w:rFonts w:hint="eastAsia"/>
          <w:sz w:val="28"/>
          <w:szCs w:val="28"/>
        </w:rPr>
        <w:t>源自协会统计的</w:t>
      </w:r>
      <w:r w:rsidR="001363D6">
        <w:rPr>
          <w:rFonts w:hint="eastAsia"/>
          <w:sz w:val="28"/>
          <w:szCs w:val="28"/>
        </w:rPr>
        <w:t>2015</w:t>
      </w:r>
      <w:r w:rsidR="001363D6">
        <w:rPr>
          <w:rFonts w:hint="eastAsia"/>
          <w:sz w:val="28"/>
          <w:szCs w:val="28"/>
        </w:rPr>
        <w:t>年度报表数据，共含</w:t>
      </w:r>
      <w:r w:rsidR="001363D6" w:rsidRPr="00551DDA">
        <w:rPr>
          <w:rFonts w:ascii="宋体" w:hAnsi="宋体" w:hint="eastAsia"/>
          <w:sz w:val="28"/>
          <w:szCs w:val="28"/>
        </w:rPr>
        <w:t>95家勘测设计单位上报的统计信息，按单位隶属等级划分,主要包括：</w:t>
      </w:r>
      <w:r w:rsidR="00052910">
        <w:rPr>
          <w:rFonts w:hint="eastAsia"/>
          <w:sz w:val="28"/>
          <w:szCs w:val="28"/>
        </w:rPr>
        <w:t>中电工程</w:t>
      </w:r>
      <w:r w:rsidR="001363D6" w:rsidRPr="00551DDA">
        <w:rPr>
          <w:rFonts w:ascii="宋体" w:hAnsi="宋体" w:hint="eastAsia"/>
          <w:sz w:val="28"/>
          <w:szCs w:val="28"/>
        </w:rPr>
        <w:t>7家单位，省属设计院33家单位,供电及其它设计院5</w:t>
      </w:r>
      <w:r w:rsidR="001363D6">
        <w:rPr>
          <w:rFonts w:ascii="宋体" w:hAnsi="宋体" w:hint="eastAsia"/>
          <w:sz w:val="28"/>
          <w:szCs w:val="28"/>
        </w:rPr>
        <w:t>4</w:t>
      </w:r>
      <w:r w:rsidR="001363D6" w:rsidRPr="00551DDA">
        <w:rPr>
          <w:rFonts w:ascii="宋体" w:hAnsi="宋体" w:hint="eastAsia"/>
          <w:sz w:val="28"/>
          <w:szCs w:val="28"/>
        </w:rPr>
        <w:t>家单位</w:t>
      </w:r>
      <w:r w:rsidR="00656834">
        <w:rPr>
          <w:rFonts w:ascii="宋体" w:hAnsi="宋体" w:hint="eastAsia"/>
          <w:sz w:val="28"/>
          <w:szCs w:val="28"/>
        </w:rPr>
        <w:t>，</w:t>
      </w:r>
      <w:r w:rsidR="001363D6" w:rsidRPr="00551DDA">
        <w:rPr>
          <w:rFonts w:ascii="宋体" w:hAnsi="宋体" w:hint="eastAsia"/>
          <w:sz w:val="28"/>
          <w:szCs w:val="28"/>
        </w:rPr>
        <w:t>按所属集团分类划</w:t>
      </w:r>
      <w:r w:rsidR="001363D6" w:rsidRPr="00551DDA">
        <w:rPr>
          <w:rFonts w:ascii="宋体" w:hAnsi="宋体" w:hint="eastAsia"/>
          <w:sz w:val="28"/>
          <w:szCs w:val="28"/>
        </w:rPr>
        <w:lastRenderedPageBreak/>
        <w:t>分,主要包括:中电工程7家,中能建集团15家,中电建集团11家, 供电及其它设计院6</w:t>
      </w:r>
      <w:r w:rsidR="001363D6">
        <w:rPr>
          <w:rFonts w:ascii="宋体" w:hAnsi="宋体" w:hint="eastAsia"/>
          <w:sz w:val="28"/>
          <w:szCs w:val="28"/>
        </w:rPr>
        <w:t>1</w:t>
      </w:r>
      <w:r w:rsidR="001363D6" w:rsidRPr="00551DDA">
        <w:rPr>
          <w:rFonts w:ascii="宋体" w:hAnsi="宋体" w:hint="eastAsia"/>
          <w:sz w:val="28"/>
          <w:szCs w:val="28"/>
        </w:rPr>
        <w:t>家。</w:t>
      </w:r>
    </w:p>
    <w:p w:rsidR="002958AE" w:rsidRDefault="00920A06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年至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年统计指标分析报告</w:t>
      </w:r>
      <w:r w:rsidR="002958AE">
        <w:rPr>
          <w:rFonts w:hint="eastAsia"/>
          <w:sz w:val="28"/>
          <w:szCs w:val="28"/>
        </w:rPr>
        <w:t>主要包括以下五部分内容：</w:t>
      </w:r>
    </w:p>
    <w:p w:rsidR="002958AE" w:rsidRDefault="007472E8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一</w:t>
      </w:r>
      <w:r w:rsidR="00D70A05">
        <w:rPr>
          <w:rFonts w:hint="eastAsia"/>
          <w:sz w:val="28"/>
          <w:szCs w:val="28"/>
        </w:rPr>
        <w:t>、</w:t>
      </w:r>
      <w:r w:rsidR="001A7032">
        <w:rPr>
          <w:rFonts w:hint="eastAsia"/>
          <w:sz w:val="28"/>
          <w:szCs w:val="28"/>
        </w:rPr>
        <w:t>行业规模指标</w:t>
      </w:r>
      <w:r w:rsidR="002958AE">
        <w:rPr>
          <w:rFonts w:hint="eastAsia"/>
          <w:sz w:val="28"/>
          <w:szCs w:val="28"/>
        </w:rPr>
        <w:t>分析，</w:t>
      </w:r>
      <w:r w:rsidR="001A7032">
        <w:rPr>
          <w:rFonts w:hint="eastAsia"/>
          <w:sz w:val="28"/>
          <w:szCs w:val="28"/>
        </w:rPr>
        <w:t>包括职工人数和资产总额两个总量指标；</w:t>
      </w:r>
    </w:p>
    <w:p w:rsidR="002958AE" w:rsidRDefault="007472E8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 w:rsidR="00D70A0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行业</w:t>
      </w:r>
      <w:r w:rsidR="002958AE">
        <w:rPr>
          <w:rFonts w:hint="eastAsia"/>
          <w:sz w:val="28"/>
          <w:szCs w:val="28"/>
        </w:rPr>
        <w:t>生产经营指标分析，包括新签合同额和完成产值指标；</w:t>
      </w:r>
    </w:p>
    <w:p w:rsidR="002958AE" w:rsidRDefault="002958AE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D70A0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行业财务指标分析，包括营业收入、利润总额及净利润和经济增加值指标；</w:t>
      </w:r>
    </w:p>
    <w:p w:rsidR="002958AE" w:rsidRDefault="002958AE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D70A0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行业人力资源构成分析，包括技术人员和</w:t>
      </w:r>
      <w:r w:rsidR="007472E8">
        <w:rPr>
          <w:rFonts w:hint="eastAsia"/>
          <w:sz w:val="28"/>
          <w:szCs w:val="28"/>
        </w:rPr>
        <w:t>注册执业人员</w:t>
      </w:r>
      <w:r>
        <w:rPr>
          <w:rFonts w:hint="eastAsia"/>
          <w:sz w:val="28"/>
          <w:szCs w:val="28"/>
        </w:rPr>
        <w:t>指标；</w:t>
      </w:r>
    </w:p>
    <w:p w:rsidR="001A7032" w:rsidRDefault="002958AE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="00D70A05">
        <w:rPr>
          <w:rFonts w:hint="eastAsia"/>
          <w:sz w:val="28"/>
          <w:szCs w:val="28"/>
        </w:rPr>
        <w:t>、</w:t>
      </w:r>
      <w:r w:rsidR="007472E8">
        <w:rPr>
          <w:rFonts w:hint="eastAsia"/>
          <w:sz w:val="28"/>
          <w:szCs w:val="28"/>
        </w:rPr>
        <w:t>行业</w:t>
      </w:r>
      <w:r>
        <w:rPr>
          <w:rFonts w:hint="eastAsia"/>
          <w:sz w:val="28"/>
          <w:szCs w:val="28"/>
        </w:rPr>
        <w:t>技术水平指标分析，包括企业</w:t>
      </w:r>
      <w:r w:rsidRPr="005C1930">
        <w:rPr>
          <w:rFonts w:hint="eastAsia"/>
          <w:sz w:val="28"/>
          <w:szCs w:val="28"/>
        </w:rPr>
        <w:t>拥有专利技术</w:t>
      </w:r>
      <w:r w:rsidR="007472E8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专有技术</w:t>
      </w:r>
      <w:r w:rsidRPr="005C1930">
        <w:rPr>
          <w:rFonts w:hint="eastAsia"/>
          <w:sz w:val="28"/>
          <w:szCs w:val="28"/>
        </w:rPr>
        <w:t>数量</w:t>
      </w:r>
      <w:r w:rsidR="007472E8">
        <w:rPr>
          <w:rFonts w:hint="eastAsia"/>
          <w:sz w:val="28"/>
          <w:szCs w:val="28"/>
        </w:rPr>
        <w:t>及</w:t>
      </w:r>
      <w:r>
        <w:rPr>
          <w:rFonts w:hint="eastAsia"/>
          <w:sz w:val="28"/>
          <w:szCs w:val="28"/>
        </w:rPr>
        <w:t>获奖指标。</w:t>
      </w:r>
    </w:p>
    <w:p w:rsidR="002958AE" w:rsidRDefault="00656834" w:rsidP="001A7032">
      <w:pPr>
        <w:spacing w:line="360" w:lineRule="auto"/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统计</w:t>
      </w:r>
      <w:r w:rsidR="00F80397">
        <w:rPr>
          <w:rFonts w:hint="eastAsia"/>
          <w:sz w:val="28"/>
          <w:szCs w:val="28"/>
        </w:rPr>
        <w:t>指标</w:t>
      </w:r>
      <w:r>
        <w:rPr>
          <w:rFonts w:hint="eastAsia"/>
          <w:sz w:val="28"/>
          <w:szCs w:val="28"/>
        </w:rPr>
        <w:t>分析报告</w:t>
      </w:r>
      <w:r w:rsidR="009A4277">
        <w:rPr>
          <w:rFonts w:hint="eastAsia"/>
          <w:sz w:val="28"/>
          <w:szCs w:val="28"/>
        </w:rPr>
        <w:t>力求</w:t>
      </w:r>
      <w:r>
        <w:rPr>
          <w:rFonts w:hint="eastAsia"/>
          <w:sz w:val="28"/>
          <w:szCs w:val="28"/>
        </w:rPr>
        <w:t>从以上五个方面详实反映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</w:t>
      </w:r>
      <w:r w:rsidR="00BA4DEF">
        <w:rPr>
          <w:rFonts w:hint="eastAsia"/>
          <w:sz w:val="28"/>
          <w:szCs w:val="28"/>
        </w:rPr>
        <w:t>至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年行业发展现状，</w:t>
      </w:r>
      <w:r w:rsidR="009A4277">
        <w:rPr>
          <w:rFonts w:hint="eastAsia"/>
          <w:sz w:val="28"/>
          <w:szCs w:val="28"/>
        </w:rPr>
        <w:t>为各级领导及时了解</w:t>
      </w:r>
      <w:r w:rsidR="00AC5A20">
        <w:rPr>
          <w:rFonts w:hint="eastAsia"/>
          <w:sz w:val="28"/>
          <w:szCs w:val="28"/>
        </w:rPr>
        <w:t>行业发展水平</w:t>
      </w:r>
      <w:r w:rsidR="009A4277">
        <w:rPr>
          <w:rFonts w:hint="eastAsia"/>
          <w:sz w:val="28"/>
          <w:szCs w:val="28"/>
        </w:rPr>
        <w:t>和评估行业发展趋势提供可靠依据。</w:t>
      </w:r>
    </w:p>
    <w:p w:rsidR="00656834" w:rsidRDefault="00656834" w:rsidP="001A7032">
      <w:pPr>
        <w:spacing w:line="360" w:lineRule="auto"/>
        <w:ind w:firstLine="555"/>
        <w:rPr>
          <w:sz w:val="28"/>
          <w:szCs w:val="28"/>
        </w:rPr>
      </w:pPr>
    </w:p>
    <w:p w:rsidR="00656834" w:rsidRDefault="00656834" w:rsidP="001A7032">
      <w:pPr>
        <w:spacing w:line="360" w:lineRule="auto"/>
        <w:ind w:firstLine="555"/>
        <w:rPr>
          <w:sz w:val="28"/>
          <w:szCs w:val="28"/>
        </w:rPr>
      </w:pPr>
    </w:p>
    <w:p w:rsidR="00656834" w:rsidRDefault="00656834" w:rsidP="001A7032">
      <w:pPr>
        <w:spacing w:line="360" w:lineRule="auto"/>
        <w:ind w:firstLine="555"/>
        <w:rPr>
          <w:sz w:val="28"/>
          <w:szCs w:val="28"/>
        </w:rPr>
      </w:pPr>
    </w:p>
    <w:p w:rsidR="00656834" w:rsidRDefault="00656834" w:rsidP="001A7032">
      <w:pPr>
        <w:spacing w:line="360" w:lineRule="auto"/>
        <w:ind w:firstLine="555"/>
        <w:rPr>
          <w:sz w:val="28"/>
          <w:szCs w:val="28"/>
        </w:rPr>
      </w:pPr>
    </w:p>
    <w:p w:rsidR="00656834" w:rsidRPr="001A7032" w:rsidRDefault="00656834" w:rsidP="001A7032">
      <w:pPr>
        <w:spacing w:line="360" w:lineRule="auto"/>
        <w:ind w:firstLine="555"/>
        <w:rPr>
          <w:sz w:val="28"/>
          <w:szCs w:val="28"/>
        </w:rPr>
      </w:pPr>
    </w:p>
    <w:p w:rsidR="00551DDA" w:rsidRPr="002958AE" w:rsidRDefault="00551DDA" w:rsidP="002958AE">
      <w:pPr>
        <w:pStyle w:val="2"/>
        <w:ind w:firstLineChars="198" w:firstLine="596"/>
        <w:rPr>
          <w:rFonts w:asciiTheme="majorEastAsia" w:eastAsiaTheme="majorEastAsia" w:hAnsiTheme="majorEastAsia"/>
          <w:sz w:val="30"/>
          <w:szCs w:val="30"/>
        </w:rPr>
      </w:pPr>
      <w:bookmarkStart w:id="4" w:name="_Toc450668436"/>
      <w:r w:rsidRPr="002958AE">
        <w:rPr>
          <w:rFonts w:asciiTheme="majorEastAsia" w:eastAsiaTheme="majorEastAsia" w:hAnsiTheme="majorEastAsia" w:hint="eastAsia"/>
          <w:sz w:val="30"/>
          <w:szCs w:val="30"/>
        </w:rPr>
        <w:lastRenderedPageBreak/>
        <w:t>一</w:t>
      </w:r>
      <w:r w:rsidR="002958AE" w:rsidRPr="002958AE">
        <w:rPr>
          <w:rFonts w:asciiTheme="majorEastAsia" w:eastAsiaTheme="majorEastAsia" w:hAnsiTheme="majorEastAsia" w:hint="eastAsia"/>
          <w:sz w:val="30"/>
          <w:szCs w:val="30"/>
        </w:rPr>
        <w:t>、</w:t>
      </w:r>
      <w:r w:rsidRPr="002958AE">
        <w:rPr>
          <w:rFonts w:asciiTheme="majorEastAsia" w:eastAsiaTheme="majorEastAsia" w:hAnsiTheme="majorEastAsia" w:hint="eastAsia"/>
          <w:sz w:val="30"/>
          <w:szCs w:val="30"/>
        </w:rPr>
        <w:t>规模指标分析</w:t>
      </w:r>
      <w:bookmarkEnd w:id="4"/>
    </w:p>
    <w:p w:rsidR="00551DDA" w:rsidRDefault="00551DDA" w:rsidP="002958AE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5" w:name="_Toc450668437"/>
      <w:r w:rsidRPr="002958AE">
        <w:rPr>
          <w:rFonts w:asciiTheme="majorEastAsia" w:eastAsiaTheme="majorEastAsia" w:hAnsiTheme="majorEastAsia" w:hint="eastAsia"/>
          <w:sz w:val="28"/>
          <w:szCs w:val="28"/>
        </w:rPr>
        <w:t>1、职工人数</w:t>
      </w:r>
      <w:bookmarkEnd w:id="5"/>
    </w:p>
    <w:p w:rsidR="00BB4947" w:rsidRPr="00BB4947" w:rsidRDefault="00BB4947" w:rsidP="00BB4947">
      <w:pPr>
        <w:jc w:val="center"/>
        <w:rPr>
          <w:rFonts w:asciiTheme="minorEastAsia" w:eastAsiaTheme="minorEastAsia" w:hAnsiTheme="minorEastAsia"/>
          <w:b/>
          <w:sz w:val="24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2012年—2015年行业职工人数统计表</w:t>
      </w:r>
    </w:p>
    <w:tbl>
      <w:tblPr>
        <w:tblW w:w="4846" w:type="pct"/>
        <w:jc w:val="center"/>
        <w:tblInd w:w="250" w:type="dxa"/>
        <w:tblLook w:val="04A0"/>
      </w:tblPr>
      <w:tblGrid>
        <w:gridCol w:w="3469"/>
        <w:gridCol w:w="2012"/>
        <w:gridCol w:w="2009"/>
        <w:gridCol w:w="2009"/>
        <w:gridCol w:w="2009"/>
        <w:gridCol w:w="2384"/>
      </w:tblGrid>
      <w:tr w:rsidR="00551DDA" w:rsidRPr="00D947D5" w:rsidTr="00390C4C">
        <w:trPr>
          <w:trHeight w:val="432"/>
          <w:jc w:val="center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8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D947D5" w:rsidTr="00390C4C">
        <w:trPr>
          <w:trHeight w:val="432"/>
          <w:jc w:val="center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行业期末职工总数（人）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30056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31676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33128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33509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3.69%</w:t>
            </w:r>
          </w:p>
        </w:tc>
      </w:tr>
      <w:tr w:rsidR="00551DDA" w:rsidRPr="00D947D5" w:rsidTr="00390C4C">
        <w:trPr>
          <w:trHeight w:val="288"/>
          <w:jc w:val="center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7960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7993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8296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8358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1.64%</w:t>
            </w:r>
          </w:p>
        </w:tc>
      </w:tr>
      <w:tr w:rsidR="00551DDA" w:rsidRPr="00D947D5" w:rsidTr="00390C4C">
        <w:trPr>
          <w:trHeight w:val="288"/>
          <w:jc w:val="center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8200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8643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9139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9224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4.00%</w:t>
            </w:r>
          </w:p>
        </w:tc>
      </w:tr>
      <w:tr w:rsidR="00551DDA" w:rsidRPr="00D947D5" w:rsidTr="00390C4C">
        <w:trPr>
          <w:trHeight w:val="288"/>
          <w:jc w:val="center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4386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4605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4926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5350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6.85%</w:t>
            </w:r>
          </w:p>
        </w:tc>
      </w:tr>
      <w:tr w:rsidR="00551DDA" w:rsidRPr="00D947D5" w:rsidTr="00390C4C">
        <w:trPr>
          <w:trHeight w:val="288"/>
          <w:jc w:val="center"/>
        </w:trPr>
        <w:tc>
          <w:tcPr>
            <w:tcW w:w="1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9510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10435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10767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10577 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947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947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3.61%</w:t>
            </w:r>
          </w:p>
        </w:tc>
      </w:tr>
    </w:tbl>
    <w:p w:rsidR="00551DDA" w:rsidRDefault="00551DDA" w:rsidP="00551DDA">
      <w:pPr>
        <w:spacing w:line="360" w:lineRule="auto"/>
        <w:ind w:firstLineChars="450" w:firstLine="1260"/>
        <w:rPr>
          <w:sz w:val="28"/>
          <w:szCs w:val="28"/>
        </w:rPr>
      </w:pPr>
    </w:p>
    <w:p w:rsidR="00551DDA" w:rsidRDefault="00551DDA" w:rsidP="00551DDA">
      <w:pPr>
        <w:spacing w:line="360" w:lineRule="auto"/>
        <w:ind w:firstLineChars="450" w:firstLine="1260"/>
        <w:rPr>
          <w:sz w:val="28"/>
          <w:szCs w:val="28"/>
        </w:rPr>
      </w:pPr>
      <w:r w:rsidRPr="00A829B5">
        <w:rPr>
          <w:noProof/>
          <w:sz w:val="28"/>
          <w:szCs w:val="28"/>
        </w:rPr>
        <w:drawing>
          <wp:inline distT="0" distB="0" distL="0" distR="0">
            <wp:extent cx="7620000" cy="2190750"/>
            <wp:effectExtent l="19050" t="0" r="19050" b="0"/>
            <wp:docPr id="109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450" w:firstLine="1260"/>
        <w:rPr>
          <w:sz w:val="28"/>
          <w:szCs w:val="28"/>
        </w:rPr>
      </w:pPr>
    </w:p>
    <w:p w:rsidR="00551DDA" w:rsidRDefault="00551DDA" w:rsidP="00551DDA">
      <w:pPr>
        <w:spacing w:line="360" w:lineRule="auto"/>
        <w:ind w:firstLineChars="450" w:firstLine="1260"/>
        <w:rPr>
          <w:sz w:val="28"/>
          <w:szCs w:val="28"/>
        </w:rPr>
      </w:pPr>
      <w:r w:rsidRPr="00D947D5">
        <w:rPr>
          <w:noProof/>
          <w:sz w:val="28"/>
          <w:szCs w:val="28"/>
        </w:rPr>
        <w:lastRenderedPageBreak/>
        <w:drawing>
          <wp:inline distT="0" distB="0" distL="0" distR="0">
            <wp:extent cx="7248525" cy="3267075"/>
            <wp:effectExtent l="19050" t="0" r="9525" b="0"/>
            <wp:docPr id="110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1DDA" w:rsidRPr="00FF54B5" w:rsidRDefault="00551DDA" w:rsidP="00551DDA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FF54B5">
        <w:rPr>
          <w:rFonts w:asciiTheme="minorEastAsia" w:eastAsiaTheme="minorEastAsia" w:hAnsiTheme="minorEastAsia" w:hint="eastAsia"/>
          <w:sz w:val="28"/>
          <w:szCs w:val="28"/>
        </w:rPr>
        <w:t>2012年以来，行业职工总人数平均增长速度为3.69%</w:t>
      </w:r>
      <w:r>
        <w:rPr>
          <w:rFonts w:asciiTheme="minorEastAsia" w:eastAsiaTheme="minorEastAsia" w:hAnsiTheme="minorEastAsia" w:hint="eastAsia"/>
          <w:sz w:val="28"/>
          <w:szCs w:val="28"/>
        </w:rPr>
        <w:t>，2015年较2012年增加了3453人，增长了11.49%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。</w:t>
      </w:r>
      <w:r>
        <w:rPr>
          <w:rFonts w:asciiTheme="minorEastAsia" w:eastAsiaTheme="minorEastAsia" w:hAnsiTheme="minorEastAsia" w:hint="eastAsia"/>
          <w:sz w:val="28"/>
          <w:szCs w:val="28"/>
        </w:rPr>
        <w:t>按行业各企业集团职工人数的平均增长速度，由高至低分别为：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中国电建集团，</w:t>
      </w:r>
      <w:r>
        <w:rPr>
          <w:rFonts w:asciiTheme="minorEastAsia" w:eastAsiaTheme="minorEastAsia" w:hAnsiTheme="minorEastAsia" w:hint="eastAsia"/>
          <w:sz w:val="28"/>
          <w:szCs w:val="28"/>
        </w:rPr>
        <w:t>2015年较2012年增加了964人，增长了21.98%，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2012年以来平均增长速度为6.85%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中国能建集团，</w:t>
      </w:r>
      <w:r>
        <w:rPr>
          <w:rFonts w:asciiTheme="minorEastAsia" w:eastAsiaTheme="minorEastAsia" w:hAnsiTheme="minorEastAsia" w:hint="eastAsia"/>
          <w:sz w:val="28"/>
          <w:szCs w:val="28"/>
        </w:rPr>
        <w:t>2015年较2012年增加了10</w:t>
      </w:r>
      <w:bookmarkStart w:id="6" w:name="_GoBack"/>
      <w:bookmarkEnd w:id="6"/>
      <w:r>
        <w:rPr>
          <w:rFonts w:asciiTheme="minorEastAsia" w:eastAsiaTheme="minorEastAsia" w:hAnsiTheme="minorEastAsia" w:hint="eastAsia"/>
          <w:sz w:val="28"/>
          <w:szCs w:val="28"/>
        </w:rPr>
        <w:t>24人，增长了12.49%，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2012年以来平均增长速度为4.00%</w:t>
      </w:r>
      <w:r>
        <w:rPr>
          <w:rFonts w:asciiTheme="minorEastAsia" w:eastAsiaTheme="minorEastAsia" w:hAnsiTheme="minorEastAsia" w:hint="eastAsia"/>
          <w:sz w:val="28"/>
          <w:szCs w:val="28"/>
        </w:rPr>
        <w:t>；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其他企业，</w:t>
      </w:r>
      <w:r>
        <w:rPr>
          <w:rFonts w:asciiTheme="minorEastAsia" w:eastAsiaTheme="minorEastAsia" w:hAnsiTheme="minorEastAsia" w:hint="eastAsia"/>
          <w:sz w:val="28"/>
          <w:szCs w:val="28"/>
        </w:rPr>
        <w:t>2015年较2012年增加了1067人，增长了11.22%，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2012年以来平均增长</w:t>
      </w:r>
      <w:r>
        <w:rPr>
          <w:rFonts w:asciiTheme="minorEastAsia" w:eastAsiaTheme="minorEastAsia" w:hAnsiTheme="minorEastAsia" w:hint="eastAsia"/>
          <w:sz w:val="28"/>
          <w:szCs w:val="28"/>
        </w:rPr>
        <w:t>速度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为3.61%</w:t>
      </w:r>
      <w:r>
        <w:rPr>
          <w:rFonts w:asciiTheme="minorEastAsia" w:eastAsiaTheme="minorEastAsia" w:hAnsiTheme="minorEastAsia" w:hint="eastAsia"/>
          <w:sz w:val="28"/>
          <w:szCs w:val="28"/>
        </w:rPr>
        <w:t>；中电工程，2015年较2012年增加了398人，增</w:t>
      </w:r>
      <w:r w:rsidRPr="005F442F">
        <w:rPr>
          <w:rFonts w:asciiTheme="minorEastAsia" w:eastAsiaTheme="minorEastAsia" w:hAnsiTheme="minorEastAsia" w:hint="eastAsia"/>
          <w:sz w:val="28"/>
          <w:szCs w:val="28"/>
        </w:rPr>
        <w:t>长了5</w:t>
      </w:r>
      <w:r w:rsidRPr="005F442F">
        <w:rPr>
          <w:rFonts w:asciiTheme="minorEastAsia" w:eastAsiaTheme="minorEastAsia" w:hAnsiTheme="minorEastAsia"/>
          <w:sz w:val="28"/>
          <w:szCs w:val="28"/>
        </w:rPr>
        <w:t>.00</w:t>
      </w:r>
      <w:r w:rsidRPr="005F442F">
        <w:rPr>
          <w:rFonts w:asciiTheme="minorEastAsia" w:eastAsiaTheme="minorEastAsia" w:hAnsiTheme="minorEastAsia" w:hint="eastAsia"/>
          <w:sz w:val="28"/>
          <w:szCs w:val="28"/>
        </w:rPr>
        <w:t>%，2012年以来平均增长速度为1.64%。2012年以来，行业各企业集团职工人数增长速度均相对稳定。</w:t>
      </w:r>
    </w:p>
    <w:p w:rsidR="00551DDA" w:rsidRPr="00BB4947" w:rsidRDefault="00551DDA" w:rsidP="00BB4947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7" w:name="_Toc450668438"/>
      <w:r w:rsidRPr="00BB4947">
        <w:rPr>
          <w:rFonts w:asciiTheme="majorEastAsia" w:eastAsiaTheme="majorEastAsia" w:hAnsiTheme="majorEastAsia" w:hint="eastAsia"/>
          <w:sz w:val="28"/>
          <w:szCs w:val="28"/>
        </w:rPr>
        <w:lastRenderedPageBreak/>
        <w:t>2、资产总额</w:t>
      </w:r>
      <w:bookmarkEnd w:id="7"/>
    </w:p>
    <w:p w:rsidR="00BB4947" w:rsidRPr="00BB4947" w:rsidRDefault="00BB4947" w:rsidP="00BB4947">
      <w:pPr>
        <w:jc w:val="center"/>
        <w:rPr>
          <w:rFonts w:asciiTheme="minorEastAsia" w:eastAsiaTheme="minorEastAsia" w:hAnsiTheme="minorEastAsia"/>
          <w:b/>
          <w:sz w:val="24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资产总额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5" w:type="pct"/>
        <w:jc w:val="center"/>
        <w:tblInd w:w="250" w:type="dxa"/>
        <w:tblLook w:val="04A0"/>
      </w:tblPr>
      <w:tblGrid>
        <w:gridCol w:w="3791"/>
        <w:gridCol w:w="1689"/>
        <w:gridCol w:w="2011"/>
        <w:gridCol w:w="2006"/>
        <w:gridCol w:w="2006"/>
        <w:gridCol w:w="2386"/>
      </w:tblGrid>
      <w:tr w:rsidR="00551DDA" w:rsidRPr="00A571B2" w:rsidTr="00390C4C">
        <w:trPr>
          <w:trHeight w:val="288"/>
          <w:jc w:val="center"/>
        </w:trPr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A571B2" w:rsidTr="00390C4C">
        <w:trPr>
          <w:trHeight w:val="432"/>
          <w:jc w:val="center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行业企业拥有资产</w:t>
            </w: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总额</w:t>
            </w: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（亿元）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472.49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607.55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714.88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842.30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21.25%</w:t>
            </w:r>
          </w:p>
        </w:tc>
      </w:tr>
      <w:tr w:rsidR="00551DDA" w:rsidRPr="00A571B2" w:rsidTr="00390C4C">
        <w:trPr>
          <w:trHeight w:val="288"/>
          <w:jc w:val="center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159.20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195.99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226.66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264.83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B05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B050"/>
                <w:kern w:val="0"/>
                <w:sz w:val="18"/>
                <w:szCs w:val="18"/>
              </w:rPr>
              <w:t>18.49%</w:t>
            </w:r>
          </w:p>
        </w:tc>
      </w:tr>
      <w:tr w:rsidR="00551DDA" w:rsidRPr="00A571B2" w:rsidTr="00390C4C">
        <w:trPr>
          <w:trHeight w:val="288"/>
          <w:jc w:val="center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105.15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149.75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170.46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219.65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B05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B050"/>
                <w:kern w:val="0"/>
                <w:sz w:val="18"/>
                <w:szCs w:val="18"/>
              </w:rPr>
              <w:t>27.83%</w:t>
            </w:r>
          </w:p>
        </w:tc>
      </w:tr>
      <w:tr w:rsidR="00551DDA" w:rsidRPr="00A571B2" w:rsidTr="00390C4C">
        <w:trPr>
          <w:trHeight w:val="288"/>
          <w:jc w:val="center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61.21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80.47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99.13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134.99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B05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B050"/>
                <w:kern w:val="0"/>
                <w:sz w:val="18"/>
                <w:szCs w:val="18"/>
              </w:rPr>
              <w:t>30.16%</w:t>
            </w:r>
          </w:p>
        </w:tc>
      </w:tr>
      <w:tr w:rsidR="00551DDA" w:rsidRPr="00A571B2" w:rsidTr="00390C4C">
        <w:trPr>
          <w:trHeight w:val="288"/>
          <w:jc w:val="center"/>
        </w:trPr>
        <w:tc>
          <w:tcPr>
            <w:tcW w:w="1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146.93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181.34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218.63 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222.83 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A571B2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B050"/>
                <w:kern w:val="0"/>
                <w:sz w:val="18"/>
                <w:szCs w:val="18"/>
              </w:rPr>
            </w:pPr>
            <w:r w:rsidRPr="00A571B2">
              <w:rPr>
                <w:rFonts w:ascii="宋体" w:hAnsi="宋体" w:cs="宋体" w:hint="eastAsia"/>
                <w:b/>
                <w:bCs/>
                <w:color w:val="00B050"/>
                <w:kern w:val="0"/>
                <w:sz w:val="18"/>
                <w:szCs w:val="18"/>
              </w:rPr>
              <w:t>14.89%</w:t>
            </w:r>
          </w:p>
        </w:tc>
      </w:tr>
    </w:tbl>
    <w:p w:rsidR="00551DDA" w:rsidRDefault="00551DDA" w:rsidP="00BB4947">
      <w:pPr>
        <w:spacing w:line="360" w:lineRule="auto"/>
        <w:rPr>
          <w:sz w:val="28"/>
          <w:szCs w:val="28"/>
        </w:rPr>
      </w:pPr>
    </w:p>
    <w:p w:rsidR="00551DDA" w:rsidRDefault="00551DDA" w:rsidP="00390C4C">
      <w:pPr>
        <w:spacing w:line="360" w:lineRule="auto"/>
        <w:ind w:firstLineChars="450" w:firstLine="1260"/>
        <w:rPr>
          <w:sz w:val="28"/>
          <w:szCs w:val="28"/>
        </w:rPr>
      </w:pPr>
      <w:r w:rsidRPr="00A571B2">
        <w:rPr>
          <w:noProof/>
          <w:sz w:val="28"/>
          <w:szCs w:val="28"/>
        </w:rPr>
        <w:drawing>
          <wp:inline distT="0" distB="0" distL="0" distR="0">
            <wp:extent cx="7800975" cy="2828925"/>
            <wp:effectExtent l="19050" t="0" r="9525" b="0"/>
            <wp:docPr id="111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450" w:firstLine="1260"/>
        <w:rPr>
          <w:sz w:val="28"/>
          <w:szCs w:val="28"/>
        </w:rPr>
      </w:pPr>
      <w:r w:rsidRPr="00A571B2">
        <w:rPr>
          <w:noProof/>
          <w:sz w:val="28"/>
          <w:szCs w:val="28"/>
        </w:rPr>
        <w:lastRenderedPageBreak/>
        <w:drawing>
          <wp:inline distT="0" distB="0" distL="0" distR="0">
            <wp:extent cx="7652385" cy="3108960"/>
            <wp:effectExtent l="19050" t="0" r="24765" b="0"/>
            <wp:docPr id="117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1DDA" w:rsidRPr="00FF54B5" w:rsidRDefault="00551DDA" w:rsidP="00BB4947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企业拥有的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资产</w:t>
      </w:r>
      <w:r>
        <w:rPr>
          <w:rFonts w:asciiTheme="minorEastAsia" w:eastAsiaTheme="minorEastAsia" w:hAnsiTheme="minorEastAsia" w:hint="eastAsia"/>
          <w:sz w:val="28"/>
          <w:szCs w:val="28"/>
        </w:rPr>
        <w:t>总额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是反映企业规模的一项</w:t>
      </w:r>
      <w:r>
        <w:rPr>
          <w:rFonts w:asciiTheme="minorEastAsia" w:eastAsiaTheme="minorEastAsia" w:hAnsiTheme="minorEastAsia" w:hint="eastAsia"/>
          <w:sz w:val="28"/>
          <w:szCs w:val="28"/>
        </w:rPr>
        <w:t>重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要指标。2012年以来，行业</w:t>
      </w:r>
      <w:r>
        <w:rPr>
          <w:rFonts w:asciiTheme="minorEastAsia" w:eastAsiaTheme="minorEastAsia" w:hAnsiTheme="minorEastAsia" w:hint="eastAsia"/>
          <w:sz w:val="28"/>
          <w:szCs w:val="28"/>
        </w:rPr>
        <w:t>总资产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平均增长速度为</w:t>
      </w:r>
      <w:r>
        <w:rPr>
          <w:rFonts w:asciiTheme="minorEastAsia" w:eastAsiaTheme="minorEastAsia" w:hAnsiTheme="minorEastAsia" w:hint="eastAsia"/>
          <w:sz w:val="28"/>
          <w:szCs w:val="28"/>
        </w:rPr>
        <w:t>21.25%，2015年较2012年增加了369.81亿元，增长了78.27%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。</w:t>
      </w:r>
      <w:r>
        <w:rPr>
          <w:rFonts w:asciiTheme="minorEastAsia" w:eastAsiaTheme="minorEastAsia" w:hAnsiTheme="minorEastAsia" w:hint="eastAsia"/>
          <w:sz w:val="28"/>
          <w:szCs w:val="28"/>
        </w:rPr>
        <w:t>按行业各企业集团2012年以来资产总额的平均增长速度，由高至低分别为：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中国电建集团，2012年以来平均增长速度为</w:t>
      </w:r>
      <w:r>
        <w:rPr>
          <w:rFonts w:asciiTheme="minorEastAsia" w:eastAsiaTheme="minorEastAsia" w:hAnsiTheme="minorEastAsia" w:hint="eastAsia"/>
          <w:sz w:val="28"/>
          <w:szCs w:val="28"/>
        </w:rPr>
        <w:t>30.16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%</w:t>
      </w:r>
      <w:r>
        <w:rPr>
          <w:rFonts w:asciiTheme="minorEastAsia" w:eastAsiaTheme="minorEastAsia" w:hAnsiTheme="minorEastAsia" w:hint="eastAsia"/>
          <w:sz w:val="28"/>
          <w:szCs w:val="28"/>
        </w:rPr>
        <w:t>，2015年较2012年增加了73.78亿元，增长了120.54%；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中国能建集团，2012年以来平均增长速度为</w:t>
      </w:r>
      <w:r>
        <w:rPr>
          <w:rFonts w:asciiTheme="minorEastAsia" w:eastAsiaTheme="minorEastAsia" w:hAnsiTheme="minorEastAsia" w:hint="eastAsia"/>
          <w:sz w:val="28"/>
          <w:szCs w:val="28"/>
        </w:rPr>
        <w:t>27.83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%</w:t>
      </w:r>
      <w:r>
        <w:rPr>
          <w:rFonts w:asciiTheme="minorEastAsia" w:eastAsiaTheme="minorEastAsia" w:hAnsiTheme="minorEastAsia" w:hint="eastAsia"/>
          <w:sz w:val="28"/>
          <w:szCs w:val="28"/>
        </w:rPr>
        <w:t>，2015年较2012年增加了114.5亿元，增长了108.89%；中电工程，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2012年以来平均增长</w:t>
      </w:r>
      <w:r>
        <w:rPr>
          <w:rFonts w:asciiTheme="minorEastAsia" w:eastAsiaTheme="minorEastAsia" w:hAnsiTheme="minorEastAsia" w:hint="eastAsia"/>
          <w:sz w:val="28"/>
          <w:szCs w:val="28"/>
        </w:rPr>
        <w:t>速度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为</w:t>
      </w:r>
      <w:r>
        <w:rPr>
          <w:rFonts w:asciiTheme="minorEastAsia" w:eastAsiaTheme="minorEastAsia" w:hAnsiTheme="minorEastAsia" w:hint="eastAsia"/>
          <w:sz w:val="28"/>
          <w:szCs w:val="28"/>
        </w:rPr>
        <w:t>18.49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%</w:t>
      </w:r>
      <w:r>
        <w:rPr>
          <w:rFonts w:asciiTheme="minorEastAsia" w:eastAsiaTheme="minorEastAsia" w:hAnsiTheme="minorEastAsia" w:hint="eastAsia"/>
          <w:sz w:val="28"/>
          <w:szCs w:val="28"/>
        </w:rPr>
        <w:t>，2015年较2012年增加了105.63亿元，增长了66.35%；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其他企业，2012年以来平均增长速度为</w:t>
      </w:r>
      <w:r>
        <w:rPr>
          <w:rFonts w:asciiTheme="minorEastAsia" w:eastAsiaTheme="minorEastAsia" w:hAnsiTheme="minorEastAsia" w:hint="eastAsia"/>
          <w:sz w:val="28"/>
          <w:szCs w:val="28"/>
        </w:rPr>
        <w:t>14.89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%</w:t>
      </w:r>
      <w:r>
        <w:rPr>
          <w:rFonts w:asciiTheme="minorEastAsia" w:eastAsiaTheme="minorEastAsia" w:hAnsiTheme="minorEastAsia" w:hint="eastAsia"/>
          <w:sz w:val="28"/>
          <w:szCs w:val="28"/>
        </w:rPr>
        <w:t>，2015年较2012年增加了75.9亿元，增长了51.66%。</w:t>
      </w:r>
    </w:p>
    <w:p w:rsidR="00551DDA" w:rsidRPr="00FF54B5" w:rsidRDefault="00551DDA" w:rsidP="00BB4947">
      <w:pPr>
        <w:spacing w:line="56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2012年以来，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行业职工人数</w:t>
      </w:r>
      <w:r>
        <w:rPr>
          <w:rFonts w:asciiTheme="minorEastAsia" w:eastAsiaTheme="minorEastAsia" w:hAnsiTheme="minorEastAsia" w:hint="eastAsia"/>
          <w:sz w:val="28"/>
          <w:szCs w:val="28"/>
        </w:rPr>
        <w:t>发展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相对稳定，平均增长幅度不高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资产总额增幅较大，企业</w:t>
      </w:r>
      <w:r>
        <w:rPr>
          <w:rFonts w:asciiTheme="minorEastAsia" w:eastAsiaTheme="minorEastAsia" w:hAnsiTheme="minorEastAsia" w:hint="eastAsia"/>
          <w:sz w:val="28"/>
          <w:szCs w:val="28"/>
        </w:rPr>
        <w:t>应该在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改变经营观念，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lastRenderedPageBreak/>
        <w:t>转变经营模式，调整经营结构方面</w:t>
      </w:r>
      <w:r>
        <w:rPr>
          <w:rFonts w:asciiTheme="minorEastAsia" w:eastAsiaTheme="minorEastAsia" w:hAnsiTheme="minorEastAsia" w:hint="eastAsia"/>
          <w:sz w:val="28"/>
          <w:szCs w:val="28"/>
        </w:rPr>
        <w:t>有实质性的举措</w:t>
      </w:r>
      <w:r w:rsidRPr="00FF54B5">
        <w:rPr>
          <w:rFonts w:asciiTheme="minorEastAsia" w:eastAsiaTheme="minorEastAsia" w:hAnsiTheme="minorEastAsia" w:hint="eastAsia"/>
          <w:sz w:val="28"/>
          <w:szCs w:val="28"/>
        </w:rPr>
        <w:t>，使行业资产总额得到较大增长。</w:t>
      </w:r>
    </w:p>
    <w:p w:rsidR="00551DDA" w:rsidRPr="00BB4947" w:rsidRDefault="00BB4947" w:rsidP="00BB4947">
      <w:pPr>
        <w:pStyle w:val="2"/>
        <w:ind w:firstLineChars="198" w:firstLine="596"/>
        <w:rPr>
          <w:rFonts w:asciiTheme="majorEastAsia" w:eastAsiaTheme="majorEastAsia" w:hAnsiTheme="majorEastAsia"/>
          <w:sz w:val="30"/>
          <w:szCs w:val="30"/>
        </w:rPr>
      </w:pPr>
      <w:bookmarkStart w:id="8" w:name="_Toc450668439"/>
      <w:r w:rsidRPr="00BB4947">
        <w:rPr>
          <w:rFonts w:asciiTheme="majorEastAsia" w:eastAsiaTheme="majorEastAsia" w:hAnsiTheme="majorEastAsia" w:hint="eastAsia"/>
          <w:sz w:val="30"/>
          <w:szCs w:val="30"/>
        </w:rPr>
        <w:t>二</w:t>
      </w:r>
      <w:r>
        <w:rPr>
          <w:rFonts w:asciiTheme="majorEastAsia" w:eastAsiaTheme="majorEastAsia" w:hAnsiTheme="majorEastAsia" w:hint="eastAsia"/>
          <w:sz w:val="30"/>
          <w:szCs w:val="30"/>
        </w:rPr>
        <w:t>、</w:t>
      </w:r>
      <w:r w:rsidR="00551DDA" w:rsidRPr="00BB4947">
        <w:rPr>
          <w:rFonts w:asciiTheme="majorEastAsia" w:eastAsiaTheme="majorEastAsia" w:hAnsiTheme="majorEastAsia" w:hint="eastAsia"/>
          <w:sz w:val="30"/>
          <w:szCs w:val="30"/>
        </w:rPr>
        <w:t>生产经营指标分析</w:t>
      </w:r>
      <w:bookmarkEnd w:id="8"/>
    </w:p>
    <w:p w:rsidR="00551DDA" w:rsidRPr="00BB4947" w:rsidRDefault="00551DDA" w:rsidP="00BB4947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9" w:name="_Toc450668440"/>
      <w:r w:rsidRPr="00BB4947">
        <w:rPr>
          <w:rFonts w:asciiTheme="majorEastAsia" w:eastAsiaTheme="majorEastAsia" w:hAnsiTheme="majorEastAsia" w:hint="eastAsia"/>
          <w:sz w:val="28"/>
          <w:szCs w:val="28"/>
        </w:rPr>
        <w:t>1、新签合同额</w:t>
      </w:r>
      <w:bookmarkEnd w:id="9"/>
    </w:p>
    <w:p w:rsidR="00BB4947" w:rsidRPr="00BB4947" w:rsidRDefault="00BB4947" w:rsidP="00BB4947">
      <w:pPr>
        <w:jc w:val="center"/>
        <w:rPr>
          <w:sz w:val="28"/>
          <w:szCs w:val="28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新签合同额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0" w:type="auto"/>
        <w:jc w:val="center"/>
        <w:tblInd w:w="108" w:type="dxa"/>
        <w:tblLook w:val="04A0"/>
      </w:tblPr>
      <w:tblGrid>
        <w:gridCol w:w="2458"/>
        <w:gridCol w:w="805"/>
        <w:gridCol w:w="851"/>
        <w:gridCol w:w="851"/>
        <w:gridCol w:w="851"/>
        <w:gridCol w:w="851"/>
        <w:gridCol w:w="1572"/>
        <w:gridCol w:w="1391"/>
        <w:gridCol w:w="761"/>
        <w:gridCol w:w="2114"/>
        <w:gridCol w:w="1391"/>
      </w:tblGrid>
      <w:tr w:rsidR="00551DDA" w:rsidRPr="003B44D5" w:rsidTr="00390C4C">
        <w:trPr>
          <w:trHeight w:val="288"/>
          <w:tblHeader/>
          <w:jc w:val="center"/>
        </w:trPr>
        <w:tc>
          <w:tcPr>
            <w:tcW w:w="2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新签合同总额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其中：新签境外合同</w:t>
            </w:r>
          </w:p>
        </w:tc>
      </w:tr>
      <w:tr w:rsidR="00551DDA" w:rsidRPr="003B44D5" w:rsidTr="00390C4C">
        <w:trPr>
          <w:trHeight w:val="432"/>
          <w:tblHeader/>
          <w:jc w:val="center"/>
        </w:trPr>
        <w:tc>
          <w:tcPr>
            <w:tcW w:w="2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境外合同占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合同总额</w:t>
            </w: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比%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3B44D5" w:rsidTr="00390C4C">
        <w:trPr>
          <w:trHeight w:val="480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新签合同总额(亿元）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793.33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1049.84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1114.88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1202.82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4160.87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14.88%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828.50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19.91%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47.31%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324.69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403.23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381.66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425.69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1535.27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36.90%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9.45%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359.91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23.44%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22.29%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251.32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303.81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332.46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296.22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1183.81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219.73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79.91%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81.11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131.61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195.28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239.84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647.84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43.53%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165.16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25.49%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92.53%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136.21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211.19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205.48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241.07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793.95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19.08%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20.96%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83.70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108.82%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总承包合同额（亿元）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564.75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817.24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872.74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985.88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3240.61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60.94%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20.41%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749.04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23.11%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61.73%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252.48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334.94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313.50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364.72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1265.64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39.06%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13.04%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305.02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34.53%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185.75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239.85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273.51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239.09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938.20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8.78%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209.83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98.77%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50.39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102.16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151.92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209.54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514.01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60.81%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158.94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30.92%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98.79%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76.13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140.29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133.81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172.53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522.76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16.13%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31.35%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75.25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-42.49%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勘测设计</w:t>
            </w: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咨询合同额（亿元）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228.58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232.60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242.14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216.94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920.26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-1.73%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79.46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8.63%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-15.82%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72.21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68.29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60.97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269.63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29.30%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-5.48%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54.89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-21.24%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65.57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63.96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57.13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245.61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-4.49%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-33.15%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29.45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43.36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30.30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133.83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-0.46%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4.65%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-6.89%</w:t>
            </w:r>
          </w:p>
        </w:tc>
      </w:tr>
      <w:tr w:rsidR="00551DDA" w:rsidRPr="003B44D5" w:rsidTr="00390C4C">
        <w:trPr>
          <w:trHeight w:val="288"/>
          <w:jc w:val="center"/>
        </w:trPr>
        <w:tc>
          <w:tcPr>
            <w:tcW w:w="2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60.08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71.67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68.54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271.19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29.47%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4.49%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B44D5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B44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36.33%</w:t>
            </w:r>
          </w:p>
        </w:tc>
      </w:tr>
    </w:tbl>
    <w:p w:rsidR="0050561C" w:rsidRPr="0050561C" w:rsidRDefault="0050561C" w:rsidP="0050561C">
      <w:pPr>
        <w:spacing w:line="360" w:lineRule="auto"/>
        <w:ind w:firstLineChars="196" w:firstLine="551"/>
        <w:rPr>
          <w:b/>
          <w:sz w:val="28"/>
          <w:szCs w:val="28"/>
        </w:rPr>
      </w:pPr>
      <w:r w:rsidRPr="0050561C">
        <w:rPr>
          <w:rFonts w:hint="eastAsia"/>
          <w:b/>
          <w:sz w:val="28"/>
          <w:szCs w:val="28"/>
        </w:rPr>
        <w:t>新签合同额趋势</w:t>
      </w:r>
      <w:r w:rsidR="00EA5037">
        <w:rPr>
          <w:rFonts w:hint="eastAsia"/>
          <w:b/>
          <w:sz w:val="28"/>
          <w:szCs w:val="28"/>
        </w:rPr>
        <w:t>及</w:t>
      </w:r>
      <w:r w:rsidR="00EA5037" w:rsidRPr="0050561C">
        <w:rPr>
          <w:rFonts w:hint="eastAsia"/>
          <w:b/>
          <w:sz w:val="28"/>
          <w:szCs w:val="28"/>
        </w:rPr>
        <w:t>业务构成</w:t>
      </w:r>
      <w:r w:rsidRPr="0050561C">
        <w:rPr>
          <w:rFonts w:hint="eastAsia"/>
          <w:b/>
          <w:sz w:val="28"/>
          <w:szCs w:val="28"/>
        </w:rPr>
        <w:t>分析</w:t>
      </w:r>
    </w:p>
    <w:p w:rsidR="0050561C" w:rsidRDefault="00551DDA" w:rsidP="00390C4C">
      <w:pPr>
        <w:spacing w:line="360" w:lineRule="auto"/>
        <w:jc w:val="center"/>
        <w:rPr>
          <w:sz w:val="28"/>
          <w:szCs w:val="28"/>
        </w:rPr>
      </w:pPr>
      <w:r w:rsidRPr="00A5709D">
        <w:rPr>
          <w:noProof/>
          <w:sz w:val="28"/>
          <w:szCs w:val="28"/>
        </w:rPr>
        <w:drawing>
          <wp:inline distT="0" distB="0" distL="0" distR="0">
            <wp:extent cx="8524875" cy="2495550"/>
            <wp:effectExtent l="19050" t="0" r="9525" b="0"/>
            <wp:docPr id="11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1DDA" w:rsidRDefault="0050561C" w:rsidP="0050561C">
      <w:pPr>
        <w:spacing w:line="360" w:lineRule="auto"/>
        <w:jc w:val="center"/>
        <w:rPr>
          <w:sz w:val="28"/>
          <w:szCs w:val="28"/>
        </w:rPr>
      </w:pPr>
      <w:r w:rsidRPr="00403A9C">
        <w:rPr>
          <w:noProof/>
          <w:sz w:val="28"/>
          <w:szCs w:val="28"/>
        </w:rPr>
        <w:lastRenderedPageBreak/>
        <w:drawing>
          <wp:inline distT="0" distB="0" distL="0" distR="0">
            <wp:extent cx="7610475" cy="2495550"/>
            <wp:effectExtent l="19050" t="0" r="9525" b="0"/>
            <wp:docPr id="161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1DDA" w:rsidRDefault="00EA5037" w:rsidP="00EA5037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年以来，行业新签合同总额</w:t>
      </w:r>
      <w:r>
        <w:rPr>
          <w:rFonts w:hint="eastAsia"/>
          <w:sz w:val="28"/>
          <w:szCs w:val="28"/>
        </w:rPr>
        <w:t>4160.87</w:t>
      </w:r>
      <w:r>
        <w:rPr>
          <w:rFonts w:hint="eastAsia"/>
          <w:sz w:val="28"/>
          <w:szCs w:val="28"/>
        </w:rPr>
        <w:t>亿元，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409.49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51.62%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14.88%</w:t>
      </w:r>
      <w:r>
        <w:rPr>
          <w:rFonts w:hint="eastAsia"/>
          <w:sz w:val="28"/>
          <w:szCs w:val="28"/>
        </w:rPr>
        <w:t>。其中：新签总承包合同额</w:t>
      </w:r>
      <w:r>
        <w:rPr>
          <w:rFonts w:hint="eastAsia"/>
          <w:sz w:val="28"/>
          <w:szCs w:val="28"/>
        </w:rPr>
        <w:t>3240.61</w:t>
      </w:r>
      <w:r>
        <w:rPr>
          <w:rFonts w:hint="eastAsia"/>
          <w:sz w:val="28"/>
          <w:szCs w:val="28"/>
        </w:rPr>
        <w:t>亿元，占合同总额的</w:t>
      </w:r>
      <w:r>
        <w:rPr>
          <w:rFonts w:hint="eastAsia"/>
          <w:sz w:val="28"/>
          <w:szCs w:val="28"/>
        </w:rPr>
        <w:t>77.88%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421.13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74.57%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20.41%</w:t>
      </w:r>
      <w:r>
        <w:rPr>
          <w:rFonts w:hint="eastAsia"/>
          <w:sz w:val="28"/>
          <w:szCs w:val="28"/>
        </w:rPr>
        <w:t>。</w:t>
      </w:r>
      <w:r w:rsidR="00551DDA">
        <w:rPr>
          <w:rFonts w:hint="eastAsia"/>
          <w:sz w:val="28"/>
          <w:szCs w:val="28"/>
        </w:rPr>
        <w:t>新签勘测设计咨询合同额</w:t>
      </w:r>
      <w:r w:rsidR="00551DDA">
        <w:rPr>
          <w:rFonts w:hint="eastAsia"/>
          <w:sz w:val="28"/>
          <w:szCs w:val="28"/>
        </w:rPr>
        <w:t>920.26</w:t>
      </w:r>
      <w:r w:rsidR="00551DDA">
        <w:rPr>
          <w:rFonts w:hint="eastAsia"/>
          <w:sz w:val="28"/>
          <w:szCs w:val="28"/>
        </w:rPr>
        <w:t>亿元，占合同总额的</w:t>
      </w:r>
      <w:r w:rsidR="00551DDA">
        <w:rPr>
          <w:rFonts w:hint="eastAsia"/>
          <w:sz w:val="28"/>
          <w:szCs w:val="28"/>
        </w:rPr>
        <w:t>22.12%</w:t>
      </w:r>
      <w:r w:rsidR="00551DDA">
        <w:rPr>
          <w:rFonts w:hint="eastAsia"/>
          <w:sz w:val="28"/>
          <w:szCs w:val="28"/>
        </w:rPr>
        <w:t>，</w:t>
      </w:r>
      <w:r w:rsidR="00551DDA">
        <w:rPr>
          <w:rFonts w:hint="eastAsia"/>
          <w:sz w:val="28"/>
          <w:szCs w:val="28"/>
        </w:rPr>
        <w:t>2015</w:t>
      </w:r>
      <w:r w:rsidR="00551DDA">
        <w:rPr>
          <w:rFonts w:hint="eastAsia"/>
          <w:sz w:val="28"/>
          <w:szCs w:val="28"/>
        </w:rPr>
        <w:t>年较</w:t>
      </w:r>
      <w:r w:rsidR="00551DDA">
        <w:rPr>
          <w:rFonts w:hint="eastAsia"/>
          <w:sz w:val="28"/>
          <w:szCs w:val="28"/>
        </w:rPr>
        <w:t>2012</w:t>
      </w:r>
      <w:r w:rsidR="00551DDA">
        <w:rPr>
          <w:rFonts w:hint="eastAsia"/>
          <w:sz w:val="28"/>
          <w:szCs w:val="28"/>
        </w:rPr>
        <w:t>年减少了</w:t>
      </w:r>
      <w:r w:rsidR="00551DDA">
        <w:rPr>
          <w:rFonts w:hint="eastAsia"/>
          <w:sz w:val="28"/>
          <w:szCs w:val="28"/>
        </w:rPr>
        <w:t>11.64</w:t>
      </w:r>
      <w:r w:rsidR="00551DDA">
        <w:rPr>
          <w:rFonts w:hint="eastAsia"/>
          <w:sz w:val="28"/>
          <w:szCs w:val="28"/>
        </w:rPr>
        <w:t>亿元，减少了</w:t>
      </w:r>
      <w:r w:rsidR="00551DDA">
        <w:rPr>
          <w:rFonts w:hint="eastAsia"/>
          <w:sz w:val="28"/>
          <w:szCs w:val="28"/>
        </w:rPr>
        <w:t>5.09%</w:t>
      </w:r>
      <w:r w:rsidR="00551DDA">
        <w:rPr>
          <w:rFonts w:hint="eastAsia"/>
          <w:sz w:val="28"/>
          <w:szCs w:val="28"/>
        </w:rPr>
        <w:t>，</w:t>
      </w:r>
      <w:r w:rsidR="00551DDA">
        <w:rPr>
          <w:rFonts w:hint="eastAsia"/>
          <w:sz w:val="28"/>
          <w:szCs w:val="28"/>
        </w:rPr>
        <w:t>2012</w:t>
      </w:r>
      <w:r w:rsidR="00551DDA">
        <w:rPr>
          <w:rFonts w:hint="eastAsia"/>
          <w:sz w:val="28"/>
          <w:szCs w:val="28"/>
        </w:rPr>
        <w:t>年以来平均增长速度为</w:t>
      </w:r>
      <w:r w:rsidR="00551DDA">
        <w:rPr>
          <w:rFonts w:hint="eastAsia"/>
          <w:sz w:val="28"/>
          <w:szCs w:val="28"/>
        </w:rPr>
        <w:t>-1.73%</w:t>
      </w:r>
      <w:r w:rsidR="00551DDA">
        <w:rPr>
          <w:rFonts w:hint="eastAsia"/>
          <w:sz w:val="28"/>
          <w:szCs w:val="28"/>
        </w:rPr>
        <w:t>。</w:t>
      </w:r>
      <w:r w:rsidR="00551DDA">
        <w:rPr>
          <w:rFonts w:hint="eastAsia"/>
          <w:sz w:val="28"/>
          <w:szCs w:val="28"/>
        </w:rPr>
        <w:t>2012</w:t>
      </w:r>
      <w:r w:rsidR="00551DDA">
        <w:rPr>
          <w:rFonts w:hint="eastAsia"/>
          <w:sz w:val="28"/>
          <w:szCs w:val="28"/>
        </w:rPr>
        <w:t>年以来，行业勘测设计咨询合同呈现下降趋势，总承包合同持续快速增长，行业合同总额的增长水平主要受总承包业务快速发展的影响。</w:t>
      </w:r>
    </w:p>
    <w:p w:rsidR="0050561C" w:rsidRDefault="0050561C" w:rsidP="00551DDA">
      <w:pPr>
        <w:spacing w:line="360" w:lineRule="auto"/>
        <w:ind w:firstLineChars="600" w:firstLine="1680"/>
        <w:rPr>
          <w:sz w:val="28"/>
          <w:szCs w:val="28"/>
        </w:rPr>
      </w:pPr>
    </w:p>
    <w:p w:rsidR="0050561C" w:rsidRDefault="0050561C" w:rsidP="00551DDA">
      <w:pPr>
        <w:spacing w:line="360" w:lineRule="auto"/>
        <w:ind w:firstLineChars="600" w:firstLine="1680"/>
        <w:rPr>
          <w:sz w:val="28"/>
          <w:szCs w:val="28"/>
        </w:rPr>
      </w:pPr>
    </w:p>
    <w:p w:rsidR="0050561C" w:rsidRDefault="0050561C" w:rsidP="0050561C">
      <w:pPr>
        <w:spacing w:line="360" w:lineRule="auto"/>
        <w:ind w:firstLineChars="196" w:firstLine="551"/>
        <w:rPr>
          <w:b/>
          <w:sz w:val="28"/>
          <w:szCs w:val="28"/>
        </w:rPr>
      </w:pPr>
      <w:r w:rsidRPr="0050561C">
        <w:rPr>
          <w:rFonts w:hint="eastAsia"/>
          <w:b/>
          <w:sz w:val="28"/>
          <w:szCs w:val="28"/>
        </w:rPr>
        <w:lastRenderedPageBreak/>
        <w:t>新签合同</w:t>
      </w:r>
      <w:r>
        <w:rPr>
          <w:rFonts w:hint="eastAsia"/>
          <w:b/>
          <w:sz w:val="28"/>
          <w:szCs w:val="28"/>
        </w:rPr>
        <w:t>总</w:t>
      </w:r>
      <w:r w:rsidRPr="0050561C">
        <w:rPr>
          <w:rFonts w:hint="eastAsia"/>
          <w:b/>
          <w:sz w:val="28"/>
          <w:szCs w:val="28"/>
        </w:rPr>
        <w:t>额</w:t>
      </w:r>
      <w:r w:rsidR="007472E8">
        <w:rPr>
          <w:rFonts w:hint="eastAsia"/>
          <w:b/>
          <w:sz w:val="28"/>
          <w:szCs w:val="28"/>
        </w:rPr>
        <w:t>各企业</w:t>
      </w:r>
      <w:r w:rsidRPr="0050561C">
        <w:rPr>
          <w:rFonts w:hint="eastAsia"/>
          <w:b/>
          <w:sz w:val="28"/>
          <w:szCs w:val="28"/>
        </w:rPr>
        <w:t>集团构成分析</w:t>
      </w:r>
    </w:p>
    <w:p w:rsidR="00551DDA" w:rsidRDefault="00551DDA" w:rsidP="0050561C">
      <w:pPr>
        <w:spacing w:line="360" w:lineRule="auto"/>
        <w:jc w:val="center"/>
        <w:rPr>
          <w:sz w:val="28"/>
          <w:szCs w:val="28"/>
        </w:rPr>
      </w:pPr>
      <w:r w:rsidRPr="00502A8E">
        <w:rPr>
          <w:noProof/>
          <w:sz w:val="28"/>
          <w:szCs w:val="28"/>
        </w:rPr>
        <w:drawing>
          <wp:inline distT="0" distB="0" distL="0" distR="0">
            <wp:extent cx="7439025" cy="2362200"/>
            <wp:effectExtent l="19050" t="0" r="9525" b="0"/>
            <wp:docPr id="125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</w:t>
      </w:r>
      <w:r w:rsidRPr="00DB3952">
        <w:rPr>
          <w:rFonts w:hint="eastAsia"/>
          <w:b/>
          <w:sz w:val="28"/>
          <w:szCs w:val="28"/>
        </w:rPr>
        <w:t>新签合同总额</w:t>
      </w:r>
      <w:r>
        <w:rPr>
          <w:rFonts w:hint="eastAsia"/>
          <w:sz w:val="28"/>
          <w:szCs w:val="28"/>
        </w:rPr>
        <w:t>按各企业集团的占比，由高到低分别为：中电工程</w:t>
      </w:r>
      <w:r>
        <w:rPr>
          <w:rFonts w:hint="eastAsia"/>
          <w:sz w:val="28"/>
          <w:szCs w:val="28"/>
        </w:rPr>
        <w:t>1535.27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36.9%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101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31.11%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9.45%</w:t>
      </w:r>
      <w:r>
        <w:rPr>
          <w:rFonts w:hint="eastAsia"/>
          <w:sz w:val="28"/>
          <w:szCs w:val="28"/>
        </w:rPr>
        <w:t>，增速位居第三；中国能建集团</w:t>
      </w:r>
      <w:r>
        <w:rPr>
          <w:rFonts w:hint="eastAsia"/>
          <w:sz w:val="28"/>
          <w:szCs w:val="28"/>
        </w:rPr>
        <w:t>1183.81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28.45%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44.9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17.87%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5.63%</w:t>
      </w:r>
      <w:r>
        <w:rPr>
          <w:rFonts w:hint="eastAsia"/>
          <w:sz w:val="28"/>
          <w:szCs w:val="28"/>
        </w:rPr>
        <w:t>，增速最低；其他企业</w:t>
      </w:r>
      <w:r>
        <w:rPr>
          <w:rFonts w:hint="eastAsia"/>
          <w:sz w:val="28"/>
          <w:szCs w:val="28"/>
        </w:rPr>
        <w:t>793.95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19.08%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104.86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76.98%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20.96%</w:t>
      </w:r>
      <w:r>
        <w:rPr>
          <w:rFonts w:hint="eastAsia"/>
          <w:sz w:val="28"/>
          <w:szCs w:val="28"/>
        </w:rPr>
        <w:t>，增速位居第二；中国电建集团</w:t>
      </w:r>
      <w:r>
        <w:rPr>
          <w:rFonts w:hint="eastAsia"/>
          <w:sz w:val="28"/>
          <w:szCs w:val="28"/>
        </w:rPr>
        <w:t>647.84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15.57%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158.73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195.7%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43.53%</w:t>
      </w:r>
      <w:r>
        <w:rPr>
          <w:rFonts w:hint="eastAsia"/>
          <w:sz w:val="28"/>
          <w:szCs w:val="28"/>
        </w:rPr>
        <w:t>，增速最高。</w:t>
      </w:r>
    </w:p>
    <w:p w:rsidR="0050561C" w:rsidRDefault="0050561C" w:rsidP="00551DDA">
      <w:pPr>
        <w:spacing w:line="360" w:lineRule="auto"/>
        <w:ind w:firstLineChars="600" w:firstLine="1680"/>
        <w:rPr>
          <w:sz w:val="28"/>
          <w:szCs w:val="28"/>
        </w:rPr>
      </w:pPr>
    </w:p>
    <w:p w:rsidR="0050561C" w:rsidRDefault="0050561C" w:rsidP="00551DDA">
      <w:pPr>
        <w:spacing w:line="360" w:lineRule="auto"/>
        <w:ind w:firstLineChars="600" w:firstLine="1680"/>
        <w:rPr>
          <w:sz w:val="28"/>
          <w:szCs w:val="28"/>
        </w:rPr>
      </w:pPr>
    </w:p>
    <w:p w:rsidR="0050561C" w:rsidRPr="0050561C" w:rsidRDefault="0050561C" w:rsidP="0050561C">
      <w:pPr>
        <w:spacing w:line="360" w:lineRule="auto"/>
        <w:ind w:firstLineChars="196" w:firstLine="551"/>
        <w:rPr>
          <w:b/>
          <w:sz w:val="28"/>
          <w:szCs w:val="28"/>
        </w:rPr>
      </w:pPr>
      <w:r w:rsidRPr="0050561C">
        <w:rPr>
          <w:rFonts w:hint="eastAsia"/>
          <w:b/>
          <w:sz w:val="28"/>
          <w:szCs w:val="28"/>
        </w:rPr>
        <w:lastRenderedPageBreak/>
        <w:t>新签总承包合同额</w:t>
      </w:r>
      <w:r w:rsidR="007472E8">
        <w:rPr>
          <w:rFonts w:hint="eastAsia"/>
          <w:b/>
          <w:sz w:val="28"/>
          <w:szCs w:val="28"/>
        </w:rPr>
        <w:t>各企业</w:t>
      </w:r>
      <w:r w:rsidRPr="0050561C">
        <w:rPr>
          <w:rFonts w:hint="eastAsia"/>
          <w:b/>
          <w:sz w:val="28"/>
          <w:szCs w:val="28"/>
        </w:rPr>
        <w:t>集团构成分析</w:t>
      </w:r>
    </w:p>
    <w:p w:rsidR="00551DDA" w:rsidRPr="00EB49D7" w:rsidRDefault="00551DDA" w:rsidP="0050561C">
      <w:pPr>
        <w:spacing w:line="360" w:lineRule="auto"/>
        <w:jc w:val="center"/>
        <w:rPr>
          <w:sz w:val="28"/>
          <w:szCs w:val="28"/>
        </w:rPr>
      </w:pPr>
      <w:r w:rsidRPr="00BA12B7">
        <w:rPr>
          <w:noProof/>
          <w:sz w:val="28"/>
          <w:szCs w:val="28"/>
        </w:rPr>
        <w:drawing>
          <wp:inline distT="0" distB="0" distL="0" distR="0">
            <wp:extent cx="7381875" cy="2228850"/>
            <wp:effectExtent l="19050" t="0" r="9525" b="0"/>
            <wp:docPr id="126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51DDA" w:rsidRPr="00933F7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</w:t>
      </w:r>
      <w:r w:rsidRPr="008A2150">
        <w:rPr>
          <w:rFonts w:hint="eastAsia"/>
          <w:b/>
          <w:sz w:val="28"/>
          <w:szCs w:val="28"/>
        </w:rPr>
        <w:t>新签总承包合同额</w:t>
      </w:r>
      <w:r>
        <w:rPr>
          <w:rFonts w:hint="eastAsia"/>
          <w:sz w:val="28"/>
          <w:szCs w:val="28"/>
        </w:rPr>
        <w:t>按各企业集团的占比，由高到低分别为：中电工程</w:t>
      </w:r>
      <w:r>
        <w:rPr>
          <w:rFonts w:hint="eastAsia"/>
          <w:sz w:val="28"/>
          <w:szCs w:val="28"/>
        </w:rPr>
        <w:t>1265.64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39.06%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112.24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44.46%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13.04%</w:t>
      </w:r>
      <w:r>
        <w:rPr>
          <w:rFonts w:hint="eastAsia"/>
          <w:sz w:val="28"/>
          <w:szCs w:val="28"/>
        </w:rPr>
        <w:t>，增速位居第三；中国能建集团</w:t>
      </w:r>
      <w:r>
        <w:rPr>
          <w:rFonts w:hint="eastAsia"/>
          <w:sz w:val="28"/>
          <w:szCs w:val="28"/>
        </w:rPr>
        <w:t>938.2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28.95%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53.34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28.72%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8.78%</w:t>
      </w:r>
      <w:r>
        <w:rPr>
          <w:rFonts w:hint="eastAsia"/>
          <w:sz w:val="28"/>
          <w:szCs w:val="28"/>
        </w:rPr>
        <w:t>，增速最低；其他企业</w:t>
      </w:r>
      <w:r>
        <w:rPr>
          <w:rFonts w:hint="eastAsia"/>
          <w:sz w:val="28"/>
          <w:szCs w:val="28"/>
        </w:rPr>
        <w:t>522.76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16.13%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96.4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126.63%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31.35%</w:t>
      </w:r>
      <w:r>
        <w:rPr>
          <w:rFonts w:hint="eastAsia"/>
          <w:sz w:val="28"/>
          <w:szCs w:val="28"/>
        </w:rPr>
        <w:t>，增速位居第二；中国电建集团</w:t>
      </w:r>
      <w:r>
        <w:rPr>
          <w:rFonts w:hint="eastAsia"/>
          <w:sz w:val="28"/>
          <w:szCs w:val="28"/>
        </w:rPr>
        <w:t>514.01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15.86%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159.15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315.84%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60.81%</w:t>
      </w:r>
      <w:r>
        <w:rPr>
          <w:rFonts w:hint="eastAsia"/>
          <w:sz w:val="28"/>
          <w:szCs w:val="28"/>
        </w:rPr>
        <w:t>，增速最高。突出特点，权重较大的</w:t>
      </w:r>
      <w:r w:rsidRPr="00933F7A">
        <w:rPr>
          <w:rFonts w:hint="eastAsia"/>
          <w:sz w:val="28"/>
          <w:szCs w:val="28"/>
        </w:rPr>
        <w:t>中电工程及中国能建集团，增长速度均较低，分别为</w:t>
      </w:r>
      <w:r w:rsidRPr="00933F7A">
        <w:rPr>
          <w:rFonts w:hint="eastAsia"/>
          <w:sz w:val="28"/>
          <w:szCs w:val="28"/>
        </w:rPr>
        <w:t>13.04%</w:t>
      </w:r>
      <w:r w:rsidRPr="00933F7A">
        <w:rPr>
          <w:rFonts w:hint="eastAsia"/>
          <w:sz w:val="28"/>
          <w:szCs w:val="28"/>
        </w:rPr>
        <w:t>及</w:t>
      </w:r>
      <w:r w:rsidRPr="00933F7A">
        <w:rPr>
          <w:rFonts w:hint="eastAsia"/>
          <w:sz w:val="28"/>
          <w:szCs w:val="28"/>
        </w:rPr>
        <w:t>8.78%</w:t>
      </w:r>
      <w:r w:rsidRPr="00933F7A">
        <w:rPr>
          <w:rFonts w:hint="eastAsia"/>
          <w:sz w:val="28"/>
          <w:szCs w:val="28"/>
        </w:rPr>
        <w:t>，权重较低的中国电建集团及其他企业，增速较高，分别为</w:t>
      </w:r>
      <w:r w:rsidRPr="00933F7A">
        <w:rPr>
          <w:rFonts w:hint="eastAsia"/>
          <w:sz w:val="28"/>
          <w:szCs w:val="28"/>
        </w:rPr>
        <w:t>60.81%</w:t>
      </w:r>
      <w:r w:rsidRPr="00933F7A">
        <w:rPr>
          <w:rFonts w:hint="eastAsia"/>
          <w:sz w:val="28"/>
          <w:szCs w:val="28"/>
        </w:rPr>
        <w:t>及</w:t>
      </w:r>
      <w:r w:rsidRPr="00933F7A">
        <w:rPr>
          <w:rFonts w:hint="eastAsia"/>
          <w:sz w:val="28"/>
          <w:szCs w:val="28"/>
        </w:rPr>
        <w:t>31.35%</w:t>
      </w:r>
      <w:r w:rsidRPr="00933F7A">
        <w:rPr>
          <w:rFonts w:hint="eastAsia"/>
          <w:sz w:val="28"/>
          <w:szCs w:val="28"/>
        </w:rPr>
        <w:t>。</w:t>
      </w:r>
    </w:p>
    <w:p w:rsidR="00EA1E61" w:rsidRDefault="00EA1E61" w:rsidP="00EA1E61">
      <w:pPr>
        <w:spacing w:line="360" w:lineRule="auto"/>
        <w:rPr>
          <w:sz w:val="28"/>
          <w:szCs w:val="28"/>
        </w:rPr>
      </w:pPr>
    </w:p>
    <w:p w:rsidR="00EA1E61" w:rsidRPr="00EA1E61" w:rsidRDefault="00EA1E61" w:rsidP="00EA1E61">
      <w:pPr>
        <w:spacing w:line="360" w:lineRule="auto"/>
        <w:ind w:firstLineChars="200" w:firstLine="562"/>
        <w:rPr>
          <w:b/>
          <w:sz w:val="28"/>
          <w:szCs w:val="28"/>
        </w:rPr>
      </w:pPr>
      <w:r w:rsidRPr="00EA1E61">
        <w:rPr>
          <w:rFonts w:hint="eastAsia"/>
          <w:b/>
          <w:sz w:val="28"/>
          <w:szCs w:val="28"/>
        </w:rPr>
        <w:lastRenderedPageBreak/>
        <w:t>新签勘测设计咨询合同额</w:t>
      </w:r>
      <w:r w:rsidR="007472E8">
        <w:rPr>
          <w:rFonts w:hint="eastAsia"/>
          <w:b/>
          <w:sz w:val="28"/>
          <w:szCs w:val="28"/>
        </w:rPr>
        <w:t>各企业</w:t>
      </w:r>
      <w:r w:rsidRPr="00EA1E61">
        <w:rPr>
          <w:rFonts w:hint="eastAsia"/>
          <w:b/>
          <w:sz w:val="28"/>
          <w:szCs w:val="28"/>
        </w:rPr>
        <w:t>集团构成分析</w:t>
      </w:r>
    </w:p>
    <w:p w:rsidR="00551DDA" w:rsidRDefault="00551DDA" w:rsidP="00EA1E61">
      <w:pPr>
        <w:spacing w:line="360" w:lineRule="auto"/>
        <w:jc w:val="center"/>
        <w:rPr>
          <w:sz w:val="28"/>
          <w:szCs w:val="28"/>
        </w:rPr>
      </w:pPr>
      <w:r w:rsidRPr="00A779E6">
        <w:rPr>
          <w:noProof/>
          <w:sz w:val="28"/>
          <w:szCs w:val="28"/>
        </w:rPr>
        <w:drawing>
          <wp:inline distT="0" distB="0" distL="0" distR="0">
            <wp:extent cx="7391400" cy="2133600"/>
            <wp:effectExtent l="19050" t="0" r="19050" b="0"/>
            <wp:docPr id="127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</w:t>
      </w:r>
      <w:r w:rsidRPr="008A2150">
        <w:rPr>
          <w:rFonts w:hint="eastAsia"/>
          <w:b/>
          <w:sz w:val="28"/>
          <w:szCs w:val="28"/>
        </w:rPr>
        <w:t>新签勘测设计咨询合同额</w:t>
      </w:r>
      <w:r>
        <w:rPr>
          <w:rFonts w:hint="eastAsia"/>
          <w:sz w:val="28"/>
          <w:szCs w:val="28"/>
        </w:rPr>
        <w:t>按各企业集团占比，由高到低分别为：其他企业</w:t>
      </w:r>
      <w:r>
        <w:rPr>
          <w:rFonts w:hint="eastAsia"/>
          <w:sz w:val="28"/>
          <w:szCs w:val="28"/>
        </w:rPr>
        <w:t>271.19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29.47%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8.46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14.08%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4.49%</w:t>
      </w:r>
      <w:r>
        <w:rPr>
          <w:rFonts w:hint="eastAsia"/>
          <w:sz w:val="28"/>
          <w:szCs w:val="28"/>
        </w:rPr>
        <w:t>，仅该企业集团为正增长；中电工程</w:t>
      </w:r>
      <w:r>
        <w:rPr>
          <w:rFonts w:hint="eastAsia"/>
          <w:sz w:val="28"/>
          <w:szCs w:val="28"/>
        </w:rPr>
        <w:t>269.63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29.3%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11.24</w:t>
      </w:r>
      <w:r>
        <w:rPr>
          <w:rFonts w:hint="eastAsia"/>
          <w:sz w:val="28"/>
          <w:szCs w:val="28"/>
        </w:rPr>
        <w:t>亿元，减少</w:t>
      </w:r>
      <w:r w:rsidRPr="005F442F">
        <w:rPr>
          <w:rFonts w:hint="eastAsia"/>
          <w:sz w:val="28"/>
          <w:szCs w:val="28"/>
        </w:rPr>
        <w:t>了</w:t>
      </w:r>
      <w:r w:rsidRPr="005F442F">
        <w:rPr>
          <w:sz w:val="28"/>
          <w:szCs w:val="28"/>
        </w:rPr>
        <w:t>15.57%</w:t>
      </w:r>
      <w:r w:rsidRPr="005F442F">
        <w:rPr>
          <w:rFonts w:hint="eastAsia"/>
          <w:sz w:val="28"/>
          <w:szCs w:val="28"/>
        </w:rPr>
        <w:t>，</w:t>
      </w:r>
      <w:r w:rsidRPr="005F442F">
        <w:rPr>
          <w:rFonts w:hint="eastAsia"/>
          <w:sz w:val="28"/>
          <w:szCs w:val="28"/>
        </w:rPr>
        <w:t>2012</w:t>
      </w:r>
      <w:r w:rsidRPr="005F442F">
        <w:rPr>
          <w:rFonts w:hint="eastAsia"/>
          <w:sz w:val="28"/>
          <w:szCs w:val="28"/>
        </w:rPr>
        <w:t>年以来平均增长速度</w:t>
      </w:r>
      <w:r w:rsidRPr="005F442F">
        <w:rPr>
          <w:rFonts w:hint="eastAsia"/>
          <w:sz w:val="28"/>
          <w:szCs w:val="28"/>
        </w:rPr>
        <w:t>-5.48%</w:t>
      </w:r>
      <w:r w:rsidRPr="005F442F">
        <w:rPr>
          <w:rFonts w:hint="eastAsia"/>
          <w:sz w:val="28"/>
          <w:szCs w:val="28"/>
        </w:rPr>
        <w:t>，为负增长，下降幅度相对最低；中国能建集团</w:t>
      </w:r>
      <w:r w:rsidRPr="005F442F">
        <w:rPr>
          <w:rFonts w:hint="eastAsia"/>
          <w:sz w:val="28"/>
          <w:szCs w:val="28"/>
        </w:rPr>
        <w:t>245.61</w:t>
      </w:r>
      <w:r w:rsidRPr="005F442F">
        <w:rPr>
          <w:rFonts w:hint="eastAsia"/>
          <w:sz w:val="28"/>
          <w:szCs w:val="28"/>
        </w:rPr>
        <w:t>亿元，占</w:t>
      </w:r>
      <w:r w:rsidRPr="005F442F">
        <w:rPr>
          <w:rFonts w:hint="eastAsia"/>
          <w:sz w:val="28"/>
          <w:szCs w:val="28"/>
        </w:rPr>
        <w:t>26.69%</w:t>
      </w:r>
      <w:r w:rsidRPr="005F442F">
        <w:rPr>
          <w:rFonts w:hint="eastAsia"/>
          <w:sz w:val="28"/>
          <w:szCs w:val="28"/>
        </w:rPr>
        <w:t>，</w:t>
      </w:r>
      <w:r w:rsidRPr="005F442F">
        <w:rPr>
          <w:rFonts w:hint="eastAsia"/>
          <w:sz w:val="28"/>
          <w:szCs w:val="28"/>
        </w:rPr>
        <w:t>2015</w:t>
      </w:r>
      <w:r w:rsidRPr="005F442F">
        <w:rPr>
          <w:rFonts w:hint="eastAsia"/>
          <w:sz w:val="28"/>
          <w:szCs w:val="28"/>
        </w:rPr>
        <w:t>年较</w:t>
      </w:r>
      <w:r w:rsidRPr="005F442F">
        <w:rPr>
          <w:rFonts w:hint="eastAsia"/>
          <w:sz w:val="28"/>
          <w:szCs w:val="28"/>
        </w:rPr>
        <w:t>2012</w:t>
      </w:r>
      <w:r w:rsidRPr="005F442F">
        <w:rPr>
          <w:rFonts w:hint="eastAsia"/>
          <w:sz w:val="28"/>
          <w:szCs w:val="28"/>
        </w:rPr>
        <w:t>年减少了</w:t>
      </w:r>
      <w:r w:rsidRPr="005F442F">
        <w:rPr>
          <w:rFonts w:hint="eastAsia"/>
          <w:sz w:val="28"/>
          <w:szCs w:val="28"/>
        </w:rPr>
        <w:t>8.44</w:t>
      </w:r>
      <w:r w:rsidRPr="005F442F">
        <w:rPr>
          <w:rFonts w:hint="eastAsia"/>
          <w:sz w:val="28"/>
          <w:szCs w:val="28"/>
        </w:rPr>
        <w:t>亿元，降低了</w:t>
      </w:r>
      <w:r w:rsidRPr="005F442F">
        <w:rPr>
          <w:rFonts w:hint="eastAsia"/>
          <w:sz w:val="28"/>
          <w:szCs w:val="28"/>
        </w:rPr>
        <w:t>12.87%</w:t>
      </w:r>
      <w:r w:rsidRPr="005F442F">
        <w:rPr>
          <w:rFonts w:hint="eastAsia"/>
          <w:sz w:val="28"/>
          <w:szCs w:val="28"/>
        </w:rPr>
        <w:t>，</w:t>
      </w:r>
      <w:r w:rsidRPr="005F442F">
        <w:rPr>
          <w:rFonts w:hint="eastAsia"/>
          <w:sz w:val="28"/>
          <w:szCs w:val="28"/>
        </w:rPr>
        <w:t>2012</w:t>
      </w:r>
      <w:r w:rsidRPr="005F442F">
        <w:rPr>
          <w:rFonts w:hint="eastAsia"/>
          <w:sz w:val="28"/>
          <w:szCs w:val="28"/>
        </w:rPr>
        <w:t>年以来平均增长速度</w:t>
      </w:r>
      <w:r w:rsidRPr="005F442F">
        <w:rPr>
          <w:rFonts w:hint="eastAsia"/>
          <w:sz w:val="28"/>
          <w:szCs w:val="28"/>
        </w:rPr>
        <w:t>-4.49%</w:t>
      </w:r>
      <w:r w:rsidRPr="005F442F">
        <w:rPr>
          <w:rFonts w:hint="eastAsia"/>
          <w:sz w:val="28"/>
          <w:szCs w:val="28"/>
        </w:rPr>
        <w:t>，为负增长，下降幅度位居第二；中国电建集团</w:t>
      </w:r>
      <w:r w:rsidRPr="005F442F">
        <w:rPr>
          <w:rFonts w:hint="eastAsia"/>
          <w:sz w:val="28"/>
          <w:szCs w:val="28"/>
        </w:rPr>
        <w:t>133.83</w:t>
      </w:r>
      <w:r w:rsidRPr="005F442F">
        <w:rPr>
          <w:rFonts w:hint="eastAsia"/>
          <w:sz w:val="28"/>
          <w:szCs w:val="28"/>
        </w:rPr>
        <w:t>亿元，占</w:t>
      </w:r>
      <w:r w:rsidRPr="005F442F">
        <w:rPr>
          <w:rFonts w:hint="eastAsia"/>
          <w:sz w:val="28"/>
          <w:szCs w:val="28"/>
        </w:rPr>
        <w:t>14.54%</w:t>
      </w:r>
      <w:r w:rsidRPr="005F442F">
        <w:rPr>
          <w:rFonts w:hint="eastAsia"/>
          <w:sz w:val="28"/>
          <w:szCs w:val="28"/>
        </w:rPr>
        <w:t>，</w:t>
      </w:r>
      <w:r w:rsidRPr="005F442F">
        <w:rPr>
          <w:rFonts w:hint="eastAsia"/>
          <w:sz w:val="28"/>
          <w:szCs w:val="28"/>
        </w:rPr>
        <w:t>2015</w:t>
      </w:r>
      <w:r w:rsidRPr="005F442F">
        <w:rPr>
          <w:rFonts w:hint="eastAsia"/>
          <w:sz w:val="28"/>
          <w:szCs w:val="28"/>
        </w:rPr>
        <w:t>年较</w:t>
      </w:r>
      <w:r w:rsidRPr="005F442F">
        <w:rPr>
          <w:rFonts w:hint="eastAsia"/>
          <w:sz w:val="28"/>
          <w:szCs w:val="28"/>
        </w:rPr>
        <w:t>2012</w:t>
      </w:r>
      <w:r w:rsidRPr="005F442F">
        <w:rPr>
          <w:rFonts w:hint="eastAsia"/>
          <w:sz w:val="28"/>
          <w:szCs w:val="28"/>
        </w:rPr>
        <w:t>年减少了</w:t>
      </w:r>
      <w:r w:rsidRPr="005F442F">
        <w:rPr>
          <w:rFonts w:hint="eastAsia"/>
          <w:sz w:val="28"/>
          <w:szCs w:val="28"/>
        </w:rPr>
        <w:t>0.42</w:t>
      </w:r>
      <w:r w:rsidRPr="005F442F">
        <w:rPr>
          <w:rFonts w:hint="eastAsia"/>
          <w:sz w:val="28"/>
          <w:szCs w:val="28"/>
        </w:rPr>
        <w:t>亿元，降低了</w:t>
      </w:r>
      <w:r w:rsidRPr="005F442F">
        <w:rPr>
          <w:rFonts w:hint="eastAsia"/>
          <w:sz w:val="28"/>
          <w:szCs w:val="28"/>
        </w:rPr>
        <w:t>1.37%</w:t>
      </w:r>
      <w:r w:rsidRPr="005F442F">
        <w:rPr>
          <w:rFonts w:hint="eastAsia"/>
          <w:sz w:val="28"/>
          <w:szCs w:val="28"/>
        </w:rPr>
        <w:t>，</w:t>
      </w:r>
      <w:r w:rsidRPr="005F442F">
        <w:rPr>
          <w:rFonts w:hint="eastAsia"/>
          <w:sz w:val="28"/>
          <w:szCs w:val="28"/>
        </w:rPr>
        <w:t>2012</w:t>
      </w:r>
      <w:r w:rsidRPr="005F442F">
        <w:rPr>
          <w:rFonts w:hint="eastAsia"/>
          <w:sz w:val="28"/>
          <w:szCs w:val="28"/>
        </w:rPr>
        <w:t>年以来平均增长速度</w:t>
      </w:r>
      <w:r w:rsidRPr="005F442F">
        <w:rPr>
          <w:rFonts w:hint="eastAsia"/>
          <w:sz w:val="28"/>
          <w:szCs w:val="28"/>
        </w:rPr>
        <w:t>-0.46%</w:t>
      </w:r>
      <w:r w:rsidRPr="005F442F">
        <w:rPr>
          <w:rFonts w:hint="eastAsia"/>
          <w:sz w:val="28"/>
          <w:szCs w:val="28"/>
        </w:rPr>
        <w:t>，略微下降。</w:t>
      </w:r>
    </w:p>
    <w:p w:rsidR="00233DDD" w:rsidRDefault="00233DDD" w:rsidP="00551DDA">
      <w:pPr>
        <w:spacing w:line="360" w:lineRule="auto"/>
        <w:ind w:firstLineChars="200" w:firstLine="560"/>
        <w:rPr>
          <w:sz w:val="28"/>
          <w:szCs w:val="28"/>
        </w:rPr>
      </w:pPr>
    </w:p>
    <w:p w:rsidR="00EA1E61" w:rsidRDefault="00EA1E61" w:rsidP="00EA1E61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10" w:name="_Toc450668441"/>
      <w:r w:rsidRPr="00EA1E61">
        <w:rPr>
          <w:rFonts w:asciiTheme="majorEastAsia" w:eastAsiaTheme="majorEastAsia" w:hAnsiTheme="majorEastAsia" w:hint="eastAsia"/>
          <w:sz w:val="28"/>
          <w:szCs w:val="28"/>
        </w:rPr>
        <w:lastRenderedPageBreak/>
        <w:t>2、境外新签合同额</w:t>
      </w:r>
      <w:bookmarkEnd w:id="10"/>
    </w:p>
    <w:p w:rsidR="00EA1E61" w:rsidRPr="00EA1E61" w:rsidRDefault="00EA1E61" w:rsidP="00EA1E61">
      <w:pPr>
        <w:jc w:val="center"/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境外新签合同额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6" w:type="pct"/>
        <w:jc w:val="center"/>
        <w:tblInd w:w="250" w:type="dxa"/>
        <w:tblLook w:val="04A0"/>
      </w:tblPr>
      <w:tblGrid>
        <w:gridCol w:w="3552"/>
        <w:gridCol w:w="1245"/>
        <w:gridCol w:w="1273"/>
        <w:gridCol w:w="1270"/>
        <w:gridCol w:w="1270"/>
        <w:gridCol w:w="1270"/>
        <w:gridCol w:w="2184"/>
        <w:gridCol w:w="1828"/>
      </w:tblGrid>
      <w:tr w:rsidR="00551DDA" w:rsidRPr="00EF124B" w:rsidTr="00390C4C">
        <w:trPr>
          <w:trHeight w:val="432"/>
          <w:tblHeader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境外合同额（亿元）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87.63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202.72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258.03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280.12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828.50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47.31%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63.23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89.81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91.24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115.63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359.91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43.44%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22.29%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9.34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74.04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81.96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54.39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219.73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26.52%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79.91%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13.73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9.89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43.55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97.99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165.16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19.93%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92.53%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28.98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41.28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12.11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83.70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10.10%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108.82%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境外总承包合同额（亿元）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62.70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179.61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241.48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265.25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749.04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61.73%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43.54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75.00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80.47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106.01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305.02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40.72%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34.53%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6.83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70.49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78.87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53.64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209.83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28.01%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98.77%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12.33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7.69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42.06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96.86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158.94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21.22%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98.79%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0.00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26.43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40.08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8.74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75.25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10.05%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-30.85%</w:t>
            </w:r>
          </w:p>
        </w:tc>
      </w:tr>
      <w:tr w:rsidR="00551DDA" w:rsidRPr="00EF124B" w:rsidTr="00390C4C">
        <w:trPr>
          <w:trHeight w:val="432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境外勘测设计咨询合同额（亿元）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24.93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23.11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16.55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14.87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79.46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-15.82%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19.69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14.81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10.77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9.62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54.89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69.08%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-21.24%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2.51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3.55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3.09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0.75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9.90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12.46%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-33.15%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1.40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2.20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1.49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1.13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6.22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7.83%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-6.89%</w:t>
            </w:r>
          </w:p>
        </w:tc>
      </w:tr>
      <w:tr w:rsidR="00551DDA" w:rsidRPr="00EF124B" w:rsidTr="00390C4C">
        <w:trPr>
          <w:trHeight w:val="288"/>
          <w:jc w:val="center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1.33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2.55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1.20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8.45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10.63%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EF124B" w:rsidRDefault="00551DDA" w:rsidP="00D250B7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EF124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36.33%</w:t>
            </w:r>
          </w:p>
        </w:tc>
      </w:tr>
    </w:tbl>
    <w:p w:rsidR="00EA1E61" w:rsidRPr="00EA1E61" w:rsidRDefault="00EA1E61" w:rsidP="00EA1E61">
      <w:pPr>
        <w:spacing w:line="360" w:lineRule="auto"/>
        <w:ind w:firstLineChars="196" w:firstLine="551"/>
        <w:rPr>
          <w:b/>
          <w:sz w:val="28"/>
          <w:szCs w:val="28"/>
        </w:rPr>
      </w:pPr>
      <w:r w:rsidRPr="00EA1E61">
        <w:rPr>
          <w:rFonts w:hint="eastAsia"/>
          <w:b/>
          <w:sz w:val="28"/>
          <w:szCs w:val="28"/>
        </w:rPr>
        <w:lastRenderedPageBreak/>
        <w:t>境外总承包</w:t>
      </w:r>
      <w:r w:rsidR="00233DDD">
        <w:rPr>
          <w:rFonts w:hint="eastAsia"/>
          <w:b/>
          <w:sz w:val="28"/>
          <w:szCs w:val="28"/>
        </w:rPr>
        <w:t>合同发展</w:t>
      </w:r>
      <w:r w:rsidRPr="00EA1E61">
        <w:rPr>
          <w:rFonts w:hint="eastAsia"/>
          <w:b/>
          <w:sz w:val="28"/>
          <w:szCs w:val="28"/>
        </w:rPr>
        <w:t>趋势</w:t>
      </w:r>
      <w:r>
        <w:rPr>
          <w:rFonts w:hint="eastAsia"/>
          <w:b/>
          <w:sz w:val="28"/>
          <w:szCs w:val="28"/>
        </w:rPr>
        <w:t>及</w:t>
      </w:r>
      <w:r w:rsidR="00D70A05"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构成</w:t>
      </w:r>
      <w:r w:rsidRPr="00EA1E61">
        <w:rPr>
          <w:rFonts w:hint="eastAsia"/>
          <w:b/>
          <w:sz w:val="28"/>
          <w:szCs w:val="28"/>
        </w:rPr>
        <w:t>分析</w:t>
      </w:r>
    </w:p>
    <w:p w:rsidR="00551DDA" w:rsidRDefault="00551DDA" w:rsidP="00EA1E61">
      <w:pPr>
        <w:spacing w:line="360" w:lineRule="auto"/>
        <w:jc w:val="center"/>
        <w:rPr>
          <w:sz w:val="28"/>
          <w:szCs w:val="28"/>
        </w:rPr>
      </w:pPr>
      <w:r w:rsidRPr="00EF124B">
        <w:rPr>
          <w:noProof/>
          <w:sz w:val="28"/>
          <w:szCs w:val="28"/>
        </w:rPr>
        <w:drawing>
          <wp:inline distT="0" distB="0" distL="0" distR="0">
            <wp:extent cx="8153400" cy="2381250"/>
            <wp:effectExtent l="19050" t="0" r="19050" b="0"/>
            <wp:docPr id="128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1DDA" w:rsidRDefault="00551DDA" w:rsidP="00EA1E61">
      <w:pPr>
        <w:spacing w:line="360" w:lineRule="auto"/>
        <w:ind w:firstLineChars="250" w:firstLine="700"/>
        <w:rPr>
          <w:sz w:val="28"/>
          <w:szCs w:val="28"/>
        </w:rPr>
      </w:pPr>
      <w:r w:rsidRPr="006B0E98">
        <w:rPr>
          <w:noProof/>
          <w:sz w:val="28"/>
          <w:szCs w:val="28"/>
        </w:rPr>
        <w:drawing>
          <wp:inline distT="0" distB="0" distL="0" distR="0">
            <wp:extent cx="3916680" cy="2750820"/>
            <wp:effectExtent l="19050" t="0" r="26670" b="0"/>
            <wp:docPr id="129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091C9A">
        <w:rPr>
          <w:noProof/>
          <w:sz w:val="28"/>
          <w:szCs w:val="28"/>
        </w:rPr>
        <w:drawing>
          <wp:inline distT="0" distB="0" distL="0" distR="0">
            <wp:extent cx="4133850" cy="2743200"/>
            <wp:effectExtent l="19050" t="0" r="19050" b="0"/>
            <wp:docPr id="130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2012</w:t>
      </w:r>
      <w:r>
        <w:rPr>
          <w:rFonts w:hint="eastAsia"/>
          <w:sz w:val="28"/>
          <w:szCs w:val="28"/>
        </w:rPr>
        <w:t>年以来，行业新签境外合同总额</w:t>
      </w:r>
      <w:r>
        <w:rPr>
          <w:rFonts w:hint="eastAsia"/>
          <w:sz w:val="28"/>
          <w:szCs w:val="28"/>
        </w:rPr>
        <w:t>828.5</w:t>
      </w:r>
      <w:r>
        <w:rPr>
          <w:rFonts w:hint="eastAsia"/>
          <w:sz w:val="28"/>
          <w:szCs w:val="28"/>
        </w:rPr>
        <w:t>亿元，占行业总合同额的</w:t>
      </w:r>
      <w:r>
        <w:rPr>
          <w:rFonts w:hint="eastAsia"/>
          <w:sz w:val="28"/>
          <w:szCs w:val="28"/>
        </w:rPr>
        <w:t>19.91%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192.49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219.66%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47.31%</w:t>
      </w:r>
      <w:r>
        <w:rPr>
          <w:rFonts w:hint="eastAsia"/>
          <w:sz w:val="28"/>
          <w:szCs w:val="28"/>
        </w:rPr>
        <w:t>。其中：新签境外总承包合同额</w:t>
      </w:r>
      <w:r>
        <w:rPr>
          <w:rFonts w:hint="eastAsia"/>
          <w:sz w:val="28"/>
          <w:szCs w:val="28"/>
        </w:rPr>
        <w:t>749.04</w:t>
      </w:r>
      <w:r>
        <w:rPr>
          <w:rFonts w:hint="eastAsia"/>
          <w:sz w:val="28"/>
          <w:szCs w:val="28"/>
        </w:rPr>
        <w:t>亿元，占境外合同总额的</w:t>
      </w:r>
      <w:r>
        <w:rPr>
          <w:rFonts w:hint="eastAsia"/>
          <w:sz w:val="28"/>
          <w:szCs w:val="28"/>
        </w:rPr>
        <w:t>90.41%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202.55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323.05%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61.73%</w:t>
      </w:r>
      <w:r>
        <w:rPr>
          <w:rFonts w:hint="eastAsia"/>
          <w:sz w:val="28"/>
          <w:szCs w:val="28"/>
        </w:rPr>
        <w:t>；新签境外勘测设计咨询合同额</w:t>
      </w:r>
      <w:r>
        <w:rPr>
          <w:rFonts w:hint="eastAsia"/>
          <w:sz w:val="28"/>
          <w:szCs w:val="28"/>
        </w:rPr>
        <w:t>79.46</w:t>
      </w:r>
      <w:r>
        <w:rPr>
          <w:rFonts w:hint="eastAsia"/>
          <w:sz w:val="28"/>
          <w:szCs w:val="28"/>
        </w:rPr>
        <w:t>亿元，占境外合同总额的</w:t>
      </w:r>
      <w:r>
        <w:rPr>
          <w:rFonts w:hint="eastAsia"/>
          <w:sz w:val="28"/>
          <w:szCs w:val="28"/>
        </w:rPr>
        <w:t>9.59%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 xml:space="preserve"> 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10.06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40.35%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-15.82%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年以来，行业境外勘测设计咨询合同呈现下降趋势，下降幅度较大，但境外总承包合同额快速增长，弥补了境外勘测设计咨询合同的下降水平，使行业境外合同总额整体水平也有较大幅度的增长。</w:t>
      </w:r>
    </w:p>
    <w:p w:rsidR="00EA1E61" w:rsidRPr="00EA1E61" w:rsidRDefault="00EA1E61" w:rsidP="00EA1E61">
      <w:pPr>
        <w:spacing w:line="360" w:lineRule="auto"/>
        <w:ind w:firstLineChars="196" w:firstLine="551"/>
        <w:rPr>
          <w:b/>
          <w:sz w:val="28"/>
          <w:szCs w:val="28"/>
        </w:rPr>
      </w:pPr>
      <w:r w:rsidRPr="00EA1E61">
        <w:rPr>
          <w:rFonts w:hint="eastAsia"/>
          <w:b/>
          <w:sz w:val="28"/>
          <w:szCs w:val="28"/>
        </w:rPr>
        <w:t>境外总承包合同</w:t>
      </w:r>
      <w:r w:rsidR="00D250B7">
        <w:rPr>
          <w:rFonts w:hint="eastAsia"/>
          <w:b/>
          <w:sz w:val="28"/>
          <w:szCs w:val="28"/>
        </w:rPr>
        <w:t>额</w:t>
      </w:r>
      <w:r w:rsidR="007472E8">
        <w:rPr>
          <w:rFonts w:hint="eastAsia"/>
          <w:b/>
          <w:sz w:val="28"/>
          <w:szCs w:val="28"/>
        </w:rPr>
        <w:t>各企业</w:t>
      </w:r>
      <w:r w:rsidRPr="00EA1E61">
        <w:rPr>
          <w:rFonts w:hint="eastAsia"/>
          <w:b/>
          <w:sz w:val="28"/>
          <w:szCs w:val="28"/>
        </w:rPr>
        <w:t>集团构成分析</w:t>
      </w:r>
    </w:p>
    <w:p w:rsidR="00551DDA" w:rsidRPr="00091C9A" w:rsidRDefault="00551DDA" w:rsidP="00EA1E61">
      <w:pPr>
        <w:spacing w:line="360" w:lineRule="auto"/>
        <w:jc w:val="center"/>
        <w:rPr>
          <w:sz w:val="28"/>
          <w:szCs w:val="28"/>
        </w:rPr>
      </w:pPr>
      <w:r w:rsidRPr="000D1601">
        <w:rPr>
          <w:noProof/>
          <w:sz w:val="28"/>
          <w:szCs w:val="28"/>
        </w:rPr>
        <w:drawing>
          <wp:inline distT="0" distB="0" distL="0" distR="0">
            <wp:extent cx="7372350" cy="2430780"/>
            <wp:effectExtent l="19050" t="0" r="19050" b="7620"/>
            <wp:docPr id="13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2012</w:t>
      </w:r>
      <w:r>
        <w:rPr>
          <w:rFonts w:hint="eastAsia"/>
          <w:sz w:val="28"/>
          <w:szCs w:val="28"/>
        </w:rPr>
        <w:t>年以来，行业</w:t>
      </w:r>
      <w:r w:rsidRPr="008A2150">
        <w:rPr>
          <w:rFonts w:hint="eastAsia"/>
          <w:b/>
          <w:sz w:val="28"/>
          <w:szCs w:val="28"/>
        </w:rPr>
        <w:t>境外总承包合同额</w:t>
      </w:r>
      <w:r>
        <w:rPr>
          <w:rFonts w:hint="eastAsia"/>
          <w:sz w:val="28"/>
          <w:szCs w:val="28"/>
        </w:rPr>
        <w:t>按各企业集团的占比，由高到低分别为：中电工程</w:t>
      </w:r>
      <w:r>
        <w:rPr>
          <w:rFonts w:hint="eastAsia"/>
          <w:sz w:val="28"/>
          <w:szCs w:val="28"/>
        </w:rPr>
        <w:t>305.02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40.72%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62.47</w:t>
      </w:r>
      <w:r>
        <w:rPr>
          <w:rFonts w:hint="eastAsia"/>
          <w:sz w:val="28"/>
          <w:szCs w:val="28"/>
        </w:rPr>
        <w:t>亿元，增长</w:t>
      </w:r>
      <w:r w:rsidRPr="005F442F">
        <w:rPr>
          <w:rFonts w:hint="eastAsia"/>
          <w:sz w:val="28"/>
          <w:szCs w:val="28"/>
        </w:rPr>
        <w:t>了</w:t>
      </w:r>
      <w:r w:rsidRPr="005F442F">
        <w:rPr>
          <w:rFonts w:hint="eastAsia"/>
          <w:sz w:val="28"/>
          <w:szCs w:val="28"/>
        </w:rPr>
        <w:t>143.48%</w:t>
      </w:r>
      <w:r w:rsidRPr="005F442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34.53%</w:t>
      </w:r>
      <w:r>
        <w:rPr>
          <w:rFonts w:hint="eastAsia"/>
          <w:sz w:val="28"/>
          <w:szCs w:val="28"/>
        </w:rPr>
        <w:t>，增速位居第三；中国能建集团</w:t>
      </w:r>
      <w:r>
        <w:rPr>
          <w:rFonts w:hint="eastAsia"/>
          <w:sz w:val="28"/>
          <w:szCs w:val="28"/>
        </w:rPr>
        <w:t>209.83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28.01%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46.81</w:t>
      </w:r>
      <w:r>
        <w:rPr>
          <w:rFonts w:hint="eastAsia"/>
          <w:sz w:val="28"/>
          <w:szCs w:val="28"/>
        </w:rPr>
        <w:t>亿元，增长了</w:t>
      </w:r>
      <w:r w:rsidRPr="005F442F">
        <w:rPr>
          <w:rFonts w:hint="eastAsia"/>
          <w:sz w:val="28"/>
          <w:szCs w:val="28"/>
        </w:rPr>
        <w:t>685.36%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98.77%</w:t>
      </w:r>
      <w:r>
        <w:rPr>
          <w:rFonts w:hint="eastAsia"/>
          <w:sz w:val="28"/>
          <w:szCs w:val="28"/>
        </w:rPr>
        <w:t>，增速位居第二；中国电建集团</w:t>
      </w:r>
      <w:r>
        <w:rPr>
          <w:rFonts w:hint="eastAsia"/>
          <w:sz w:val="28"/>
          <w:szCs w:val="28"/>
        </w:rPr>
        <w:t>158.94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21.22%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84.53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685.56%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98.79%</w:t>
      </w:r>
      <w:r>
        <w:rPr>
          <w:rFonts w:hint="eastAsia"/>
          <w:sz w:val="28"/>
          <w:szCs w:val="28"/>
        </w:rPr>
        <w:t>，增速最高；其他企业</w:t>
      </w:r>
      <w:r>
        <w:rPr>
          <w:rFonts w:hint="eastAsia"/>
          <w:sz w:val="28"/>
          <w:szCs w:val="28"/>
        </w:rPr>
        <w:t>75.25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10.05%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2013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17.69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66.93%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-30.85%</w:t>
      </w:r>
      <w:r>
        <w:rPr>
          <w:rFonts w:hint="eastAsia"/>
          <w:sz w:val="28"/>
          <w:szCs w:val="28"/>
        </w:rPr>
        <w:t>，仅该集团增速呈现下降趋势。</w:t>
      </w:r>
    </w:p>
    <w:p w:rsidR="00D250B7" w:rsidRPr="00EA1E61" w:rsidRDefault="00D250B7" w:rsidP="00D250B7">
      <w:pPr>
        <w:spacing w:line="360" w:lineRule="auto"/>
        <w:ind w:firstLineChars="196" w:firstLine="551"/>
        <w:rPr>
          <w:b/>
          <w:sz w:val="28"/>
          <w:szCs w:val="28"/>
        </w:rPr>
      </w:pPr>
      <w:r w:rsidRPr="00EA1E61">
        <w:rPr>
          <w:rFonts w:hint="eastAsia"/>
          <w:b/>
          <w:sz w:val="28"/>
          <w:szCs w:val="28"/>
        </w:rPr>
        <w:t>境外</w:t>
      </w:r>
      <w:r>
        <w:rPr>
          <w:rFonts w:hint="eastAsia"/>
          <w:b/>
          <w:sz w:val="28"/>
          <w:szCs w:val="28"/>
        </w:rPr>
        <w:t>勘测设计咨询</w:t>
      </w:r>
      <w:r w:rsidRPr="00EA1E61">
        <w:rPr>
          <w:rFonts w:hint="eastAsia"/>
          <w:b/>
          <w:sz w:val="28"/>
          <w:szCs w:val="28"/>
        </w:rPr>
        <w:t>合同</w:t>
      </w:r>
      <w:r>
        <w:rPr>
          <w:rFonts w:hint="eastAsia"/>
          <w:b/>
          <w:sz w:val="28"/>
          <w:szCs w:val="28"/>
        </w:rPr>
        <w:t>额</w:t>
      </w:r>
      <w:r w:rsidR="007472E8">
        <w:rPr>
          <w:rFonts w:hint="eastAsia"/>
          <w:b/>
          <w:sz w:val="28"/>
          <w:szCs w:val="28"/>
        </w:rPr>
        <w:t>各企业</w:t>
      </w:r>
      <w:r w:rsidRPr="00EA1E61">
        <w:rPr>
          <w:rFonts w:hint="eastAsia"/>
          <w:b/>
          <w:sz w:val="28"/>
          <w:szCs w:val="28"/>
        </w:rPr>
        <w:t>集团构成分析</w:t>
      </w:r>
    </w:p>
    <w:p w:rsidR="00551DDA" w:rsidRDefault="00551DDA" w:rsidP="00D250B7">
      <w:pPr>
        <w:spacing w:line="360" w:lineRule="auto"/>
        <w:jc w:val="center"/>
        <w:rPr>
          <w:sz w:val="28"/>
          <w:szCs w:val="28"/>
        </w:rPr>
      </w:pPr>
      <w:r w:rsidRPr="0017514D">
        <w:rPr>
          <w:noProof/>
          <w:sz w:val="28"/>
          <w:szCs w:val="28"/>
        </w:rPr>
        <w:drawing>
          <wp:inline distT="0" distB="0" distL="0" distR="0">
            <wp:extent cx="7410450" cy="2524125"/>
            <wp:effectExtent l="19050" t="0" r="19050" b="0"/>
            <wp:docPr id="132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</w:t>
      </w:r>
      <w:r w:rsidRPr="008A2150">
        <w:rPr>
          <w:rFonts w:hint="eastAsia"/>
          <w:b/>
          <w:sz w:val="28"/>
          <w:szCs w:val="28"/>
        </w:rPr>
        <w:t>新签勘测设计咨询合同额</w:t>
      </w:r>
      <w:r>
        <w:rPr>
          <w:rFonts w:hint="eastAsia"/>
          <w:sz w:val="28"/>
          <w:szCs w:val="28"/>
        </w:rPr>
        <w:t>按各企业集团占比，由高到低分别为：中电工程</w:t>
      </w:r>
      <w:r>
        <w:rPr>
          <w:rFonts w:hint="eastAsia"/>
          <w:sz w:val="28"/>
          <w:szCs w:val="28"/>
        </w:rPr>
        <w:t>54.89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69.08%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lastRenderedPageBreak/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10.07</w:t>
      </w:r>
      <w:r>
        <w:rPr>
          <w:rFonts w:hint="eastAsia"/>
          <w:sz w:val="28"/>
          <w:szCs w:val="28"/>
        </w:rPr>
        <w:t>亿元，下降了</w:t>
      </w:r>
      <w:r>
        <w:rPr>
          <w:rFonts w:hint="eastAsia"/>
          <w:sz w:val="28"/>
          <w:szCs w:val="28"/>
        </w:rPr>
        <w:t>51.14%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-21.24%</w:t>
      </w:r>
      <w:r>
        <w:rPr>
          <w:rFonts w:hint="eastAsia"/>
          <w:sz w:val="28"/>
          <w:szCs w:val="28"/>
        </w:rPr>
        <w:t>，下降幅度位居第二；中国能建集团</w:t>
      </w:r>
      <w:r>
        <w:rPr>
          <w:rFonts w:hint="eastAsia"/>
          <w:sz w:val="28"/>
          <w:szCs w:val="28"/>
        </w:rPr>
        <w:t>9.9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12.46%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1.76</w:t>
      </w:r>
      <w:r>
        <w:rPr>
          <w:rFonts w:hint="eastAsia"/>
          <w:sz w:val="28"/>
          <w:szCs w:val="28"/>
        </w:rPr>
        <w:t>亿元，降低了</w:t>
      </w:r>
      <w:r>
        <w:rPr>
          <w:rFonts w:hint="eastAsia"/>
          <w:sz w:val="28"/>
          <w:szCs w:val="28"/>
        </w:rPr>
        <w:t>70.12%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-33.15%</w:t>
      </w:r>
      <w:r>
        <w:rPr>
          <w:rFonts w:hint="eastAsia"/>
          <w:sz w:val="28"/>
          <w:szCs w:val="28"/>
        </w:rPr>
        <w:t>，下降幅度居首位；其他企业</w:t>
      </w:r>
      <w:r>
        <w:rPr>
          <w:rFonts w:hint="eastAsia"/>
          <w:sz w:val="28"/>
          <w:szCs w:val="28"/>
        </w:rPr>
        <w:t>8.45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10.63%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2.04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153.38%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36.33%</w:t>
      </w:r>
      <w:r>
        <w:rPr>
          <w:rFonts w:hint="eastAsia"/>
          <w:sz w:val="28"/>
          <w:szCs w:val="28"/>
        </w:rPr>
        <w:t>，仅该集团为正增长；中国电建集团</w:t>
      </w:r>
      <w:r>
        <w:rPr>
          <w:rFonts w:hint="eastAsia"/>
          <w:sz w:val="28"/>
          <w:szCs w:val="28"/>
        </w:rPr>
        <w:t>6.22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7.83%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0.27</w:t>
      </w:r>
      <w:r>
        <w:rPr>
          <w:rFonts w:hint="eastAsia"/>
          <w:sz w:val="28"/>
          <w:szCs w:val="28"/>
        </w:rPr>
        <w:t>亿元，降低了</w:t>
      </w:r>
      <w:r>
        <w:rPr>
          <w:rFonts w:hint="eastAsia"/>
          <w:sz w:val="28"/>
          <w:szCs w:val="28"/>
        </w:rPr>
        <w:t>19.29%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-6.89%</w:t>
      </w:r>
      <w:r>
        <w:rPr>
          <w:rFonts w:hint="eastAsia"/>
          <w:sz w:val="28"/>
          <w:szCs w:val="28"/>
        </w:rPr>
        <w:t>，下降幅度位居第三位。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年以来，除“其他企业”外，中电工程、中国能建集团及中国电建集团的勘测设计咨询合同额均为下降趋势。</w:t>
      </w:r>
    </w:p>
    <w:p w:rsidR="00551DDA" w:rsidRDefault="00D250B7" w:rsidP="00D250B7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11" w:name="_Toc450668442"/>
      <w:r w:rsidRPr="00D250B7">
        <w:rPr>
          <w:rFonts w:asciiTheme="majorEastAsia" w:eastAsiaTheme="majorEastAsia" w:hAnsiTheme="majorEastAsia" w:hint="eastAsia"/>
          <w:sz w:val="28"/>
          <w:szCs w:val="28"/>
        </w:rPr>
        <w:t>3</w:t>
      </w:r>
      <w:r w:rsidR="00551DDA" w:rsidRPr="00D250B7">
        <w:rPr>
          <w:rFonts w:asciiTheme="majorEastAsia" w:eastAsiaTheme="majorEastAsia" w:hAnsiTheme="majorEastAsia" w:hint="eastAsia"/>
          <w:sz w:val="28"/>
          <w:szCs w:val="28"/>
        </w:rPr>
        <w:t>、完成产值</w:t>
      </w:r>
      <w:bookmarkEnd w:id="11"/>
    </w:p>
    <w:p w:rsidR="00D250B7" w:rsidRPr="00D250B7" w:rsidRDefault="00D250B7" w:rsidP="00D250B7">
      <w:pPr>
        <w:jc w:val="center"/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完成产值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96" w:type="pct"/>
        <w:jc w:val="center"/>
        <w:tblInd w:w="108" w:type="dxa"/>
        <w:tblLook w:val="04A0"/>
      </w:tblPr>
      <w:tblGrid>
        <w:gridCol w:w="3019"/>
        <w:gridCol w:w="1260"/>
        <w:gridCol w:w="1260"/>
        <w:gridCol w:w="1260"/>
        <w:gridCol w:w="1653"/>
        <w:gridCol w:w="1367"/>
        <w:gridCol w:w="2355"/>
        <w:gridCol w:w="1861"/>
      </w:tblGrid>
      <w:tr w:rsidR="00551DDA" w:rsidRPr="00393E7D" w:rsidTr="00390C4C">
        <w:trPr>
          <w:trHeight w:val="372"/>
          <w:jc w:val="center"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8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平均发展速度</w:t>
            </w:r>
          </w:p>
        </w:tc>
      </w:tr>
      <w:tr w:rsidR="00551DDA" w:rsidRPr="00393E7D" w:rsidTr="00390C4C">
        <w:trPr>
          <w:trHeight w:val="336"/>
          <w:jc w:val="center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完成总产值(亿元）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244.79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268.39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243.09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245.30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1001.57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0.07%</w:t>
            </w:r>
          </w:p>
        </w:tc>
      </w:tr>
      <w:tr w:rsidR="00551DDA" w:rsidRPr="00393E7D" w:rsidTr="00390C4C">
        <w:trPr>
          <w:trHeight w:val="336"/>
          <w:jc w:val="center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83.20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87.38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79.22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72.21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322.01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32.15%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-4.61%</w:t>
            </w:r>
          </w:p>
        </w:tc>
      </w:tr>
      <w:tr w:rsidR="00551DDA" w:rsidRPr="00393E7D" w:rsidTr="00390C4C">
        <w:trPr>
          <w:trHeight w:val="336"/>
          <w:jc w:val="center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70.13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74.04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69.75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70.88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284.80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28.44%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0.36%</w:t>
            </w:r>
          </w:p>
        </w:tc>
      </w:tr>
      <w:tr w:rsidR="00551DDA" w:rsidRPr="00393E7D" w:rsidTr="00390C4C">
        <w:trPr>
          <w:trHeight w:val="336"/>
          <w:jc w:val="center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31.14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33.70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34.83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36.55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136.22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13.60%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5.48%</w:t>
            </w:r>
          </w:p>
        </w:tc>
      </w:tr>
      <w:tr w:rsidR="00551DDA" w:rsidRPr="00393E7D" w:rsidTr="00390C4C">
        <w:trPr>
          <w:trHeight w:val="336"/>
          <w:jc w:val="center"/>
        </w:trPr>
        <w:tc>
          <w:tcPr>
            <w:tcW w:w="10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60.32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73.27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59.29 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65.66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258.54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25.81%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93E7D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93E7D">
              <w:rPr>
                <w:rFonts w:ascii="宋体" w:hAnsi="宋体" w:cs="宋体" w:hint="eastAsia"/>
                <w:kern w:val="0"/>
                <w:sz w:val="18"/>
                <w:szCs w:val="18"/>
              </w:rPr>
              <w:t>2.87%</w:t>
            </w:r>
          </w:p>
        </w:tc>
      </w:tr>
    </w:tbl>
    <w:p w:rsidR="00551DDA" w:rsidRDefault="00551DDA" w:rsidP="00D250B7">
      <w:pPr>
        <w:spacing w:line="360" w:lineRule="auto"/>
        <w:jc w:val="center"/>
        <w:rPr>
          <w:sz w:val="28"/>
          <w:szCs w:val="28"/>
        </w:rPr>
      </w:pPr>
      <w:r w:rsidRPr="00393E7D">
        <w:rPr>
          <w:noProof/>
          <w:sz w:val="28"/>
          <w:szCs w:val="28"/>
        </w:rPr>
        <w:lastRenderedPageBreak/>
        <w:drawing>
          <wp:inline distT="0" distB="0" distL="0" distR="0">
            <wp:extent cx="7162800" cy="1724025"/>
            <wp:effectExtent l="19050" t="0" r="19050" b="0"/>
            <wp:docPr id="13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年以来，行业完成总产值</w:t>
      </w:r>
      <w:r>
        <w:rPr>
          <w:rFonts w:hint="eastAsia"/>
          <w:sz w:val="28"/>
          <w:szCs w:val="28"/>
        </w:rPr>
        <w:t>1001.57</w:t>
      </w:r>
      <w:r>
        <w:rPr>
          <w:rFonts w:hint="eastAsia"/>
          <w:sz w:val="28"/>
          <w:szCs w:val="28"/>
        </w:rPr>
        <w:t>亿元，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0.51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0.21%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0.07%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年以来按行业完成总产值各企业集团的占比，由高到低分别为：中电工程完成产值为</w:t>
      </w:r>
      <w:r>
        <w:rPr>
          <w:rFonts w:hint="eastAsia"/>
          <w:sz w:val="28"/>
          <w:szCs w:val="28"/>
        </w:rPr>
        <w:t>322.01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32.15%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10.99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13.21%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-4.61%</w:t>
      </w:r>
      <w:r>
        <w:rPr>
          <w:rFonts w:hint="eastAsia"/>
          <w:sz w:val="28"/>
          <w:szCs w:val="28"/>
        </w:rPr>
        <w:t>，为负增长；中国能建集团完成产值为</w:t>
      </w:r>
      <w:r>
        <w:rPr>
          <w:rFonts w:hint="eastAsia"/>
          <w:sz w:val="28"/>
          <w:szCs w:val="28"/>
        </w:rPr>
        <w:t>284.8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28.44%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0.75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1.07%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0.36%</w:t>
      </w:r>
      <w:r>
        <w:rPr>
          <w:rFonts w:hint="eastAsia"/>
          <w:sz w:val="28"/>
          <w:szCs w:val="28"/>
        </w:rPr>
        <w:t>，增速位居第三位；其他企业完成产值为</w:t>
      </w:r>
      <w:r>
        <w:rPr>
          <w:rFonts w:hint="eastAsia"/>
          <w:sz w:val="28"/>
          <w:szCs w:val="28"/>
        </w:rPr>
        <w:t>258.54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25.81%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5.34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8.85%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2.87%</w:t>
      </w:r>
      <w:r>
        <w:rPr>
          <w:rFonts w:hint="eastAsia"/>
          <w:sz w:val="28"/>
          <w:szCs w:val="28"/>
        </w:rPr>
        <w:t>，增速位居第二；中国电建集团完成产值为</w:t>
      </w:r>
      <w:r>
        <w:rPr>
          <w:rFonts w:hint="eastAsia"/>
          <w:sz w:val="28"/>
          <w:szCs w:val="28"/>
        </w:rPr>
        <w:t>136.22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13.60%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5.41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17.37%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5.48%</w:t>
      </w:r>
      <w:r>
        <w:rPr>
          <w:rFonts w:hint="eastAsia"/>
          <w:sz w:val="28"/>
          <w:szCs w:val="28"/>
        </w:rPr>
        <w:t>，增速最高。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年以来，仅完成总产值权重较高的中电工程呈现下降趋势，其他企业集团均有不同程度的增长。</w:t>
      </w:r>
    </w:p>
    <w:p w:rsidR="00551DDA" w:rsidRPr="00D250B7" w:rsidRDefault="00D250B7" w:rsidP="00D250B7">
      <w:pPr>
        <w:pStyle w:val="2"/>
        <w:ind w:firstLineChars="198" w:firstLine="596"/>
        <w:rPr>
          <w:rFonts w:asciiTheme="majorEastAsia" w:eastAsiaTheme="majorEastAsia" w:hAnsiTheme="majorEastAsia"/>
          <w:sz w:val="30"/>
          <w:szCs w:val="30"/>
        </w:rPr>
      </w:pPr>
      <w:bookmarkStart w:id="12" w:name="_Toc450668443"/>
      <w:r w:rsidRPr="00D250B7">
        <w:rPr>
          <w:rFonts w:asciiTheme="majorEastAsia" w:eastAsiaTheme="majorEastAsia" w:hAnsiTheme="majorEastAsia" w:hint="eastAsia"/>
          <w:sz w:val="30"/>
          <w:szCs w:val="30"/>
        </w:rPr>
        <w:lastRenderedPageBreak/>
        <w:t>三、</w:t>
      </w:r>
      <w:r w:rsidR="00551DDA" w:rsidRPr="00D250B7">
        <w:rPr>
          <w:rFonts w:asciiTheme="majorEastAsia" w:eastAsiaTheme="majorEastAsia" w:hAnsiTheme="majorEastAsia" w:hint="eastAsia"/>
          <w:sz w:val="30"/>
          <w:szCs w:val="30"/>
        </w:rPr>
        <w:t>财务指标分析</w:t>
      </w:r>
      <w:bookmarkEnd w:id="12"/>
    </w:p>
    <w:p w:rsidR="00551DDA" w:rsidRDefault="00551DDA" w:rsidP="00D250B7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13" w:name="_Toc450668444"/>
      <w:r w:rsidRPr="00D250B7">
        <w:rPr>
          <w:rFonts w:asciiTheme="majorEastAsia" w:eastAsiaTheme="majorEastAsia" w:hAnsiTheme="majorEastAsia" w:hint="eastAsia"/>
          <w:sz w:val="28"/>
          <w:szCs w:val="28"/>
        </w:rPr>
        <w:t>1、营业收入</w:t>
      </w:r>
      <w:bookmarkEnd w:id="13"/>
    </w:p>
    <w:p w:rsidR="00D250B7" w:rsidRPr="00D250B7" w:rsidRDefault="00D250B7" w:rsidP="00D250B7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营业收入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0" w:type="auto"/>
        <w:jc w:val="center"/>
        <w:tblLook w:val="04A0"/>
      </w:tblPr>
      <w:tblGrid>
        <w:gridCol w:w="2385"/>
        <w:gridCol w:w="805"/>
        <w:gridCol w:w="805"/>
        <w:gridCol w:w="805"/>
        <w:gridCol w:w="805"/>
        <w:gridCol w:w="851"/>
        <w:gridCol w:w="1572"/>
        <w:gridCol w:w="1391"/>
        <w:gridCol w:w="761"/>
        <w:gridCol w:w="1391"/>
        <w:gridCol w:w="1391"/>
      </w:tblGrid>
      <w:tr w:rsidR="00551DDA" w:rsidRPr="00D75D8A" w:rsidTr="00D250B7">
        <w:trPr>
          <w:trHeight w:val="288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营业收入情况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其中：境外营业收入情况</w:t>
            </w:r>
          </w:p>
        </w:tc>
      </w:tr>
      <w:tr w:rsidR="00551DDA" w:rsidRPr="00D75D8A" w:rsidTr="00D250B7">
        <w:trPr>
          <w:trHeight w:val="419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DDA" w:rsidRPr="00D75D8A" w:rsidRDefault="00551DDA" w:rsidP="00D250B7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境外收入占比%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D75D8A" w:rsidTr="00D250B7">
        <w:trPr>
          <w:trHeight w:val="32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企业营业收入总额(亿元）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437.99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527.15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629.45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719.03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2313.62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17.97%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112.45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6.00%</w:t>
            </w:r>
          </w:p>
        </w:tc>
      </w:tr>
      <w:tr w:rsidR="00551DDA" w:rsidRPr="00D75D8A" w:rsidTr="00D250B7">
        <w:trPr>
          <w:trHeight w:val="32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150.87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167.85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206.31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225.05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750.08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32.42%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14.26%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43.93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-6.27%</w:t>
            </w:r>
          </w:p>
        </w:tc>
      </w:tr>
      <w:tr w:rsidR="00551DDA" w:rsidRPr="00D75D8A" w:rsidTr="00D250B7">
        <w:trPr>
          <w:trHeight w:val="32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119.16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139.71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170.21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199.45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628.53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27.17%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18.73%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42.27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12.36%</w:t>
            </w:r>
          </w:p>
        </w:tc>
      </w:tr>
      <w:tr w:rsidR="00551DDA" w:rsidRPr="00D75D8A" w:rsidTr="00D250B7">
        <w:trPr>
          <w:trHeight w:val="32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54.51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92.63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121.13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333.34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30.49%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13.49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32.22%</w:t>
            </w:r>
          </w:p>
        </w:tc>
      </w:tr>
      <w:tr w:rsidR="00551DDA" w:rsidRPr="00D75D8A" w:rsidTr="00D250B7">
        <w:trPr>
          <w:trHeight w:val="324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113.45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154.52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160.30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173.40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601.67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15.19%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12.29%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总承包收入（亿元）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223.28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305.83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410.17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495.66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1434.94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30.45%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76.53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5.33%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15.52%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90.81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105.46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145.16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156.41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497.84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19.87%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3.92%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53.48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79.76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112.14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141.61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386.99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38.35%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34.72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20.22%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23.61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31.47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60.79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89.34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205.21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55.83%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4.16%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36.52%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55.38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89.14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92.08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108.30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344.90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25.05%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11.83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10.97%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勘测设计咨询收入（亿元）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214.71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221.32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219.28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223.37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878.68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1.33%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35.92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4.09%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-10.02%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60.06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62.39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61.15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68.64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252.24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28.71%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4.55%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22.48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-14.30%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65.68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59.95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57.84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241.54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27.49%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-4.15%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7.55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-17.19%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30.90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33.60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31.84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31.79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128.13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14.58%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0.95%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4.96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24.80%</w:t>
            </w:r>
          </w:p>
        </w:tc>
      </w:tr>
      <w:tr w:rsidR="00551DDA" w:rsidRPr="00D75D8A" w:rsidTr="00D250B7">
        <w:trPr>
          <w:trHeight w:val="37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58.07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65.38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68.22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65.10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256.77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29.22%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kern w:val="0"/>
                <w:sz w:val="18"/>
                <w:szCs w:val="18"/>
              </w:rPr>
              <w:t>3.88%</w:t>
            </w:r>
          </w:p>
        </w:tc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75D8A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75D8A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22.23%</w:t>
            </w:r>
          </w:p>
        </w:tc>
      </w:tr>
    </w:tbl>
    <w:p w:rsidR="00233DDD" w:rsidRDefault="00233DDD" w:rsidP="00D250B7">
      <w:pPr>
        <w:spacing w:line="360" w:lineRule="auto"/>
        <w:rPr>
          <w:sz w:val="28"/>
          <w:szCs w:val="28"/>
        </w:rPr>
      </w:pPr>
    </w:p>
    <w:p w:rsidR="00D250B7" w:rsidRPr="00D250B7" w:rsidRDefault="00D250B7" w:rsidP="00390C4C">
      <w:pPr>
        <w:spacing w:line="360" w:lineRule="auto"/>
        <w:ind w:firstLineChars="196" w:firstLine="551"/>
        <w:rPr>
          <w:b/>
          <w:sz w:val="28"/>
          <w:szCs w:val="28"/>
        </w:rPr>
      </w:pPr>
      <w:r w:rsidRPr="00D250B7">
        <w:rPr>
          <w:rFonts w:hint="eastAsia"/>
          <w:b/>
          <w:sz w:val="28"/>
          <w:szCs w:val="28"/>
        </w:rPr>
        <w:lastRenderedPageBreak/>
        <w:t>营业收入</w:t>
      </w:r>
      <w:r w:rsidR="0006334C">
        <w:rPr>
          <w:rFonts w:hint="eastAsia"/>
          <w:b/>
          <w:sz w:val="28"/>
          <w:szCs w:val="28"/>
        </w:rPr>
        <w:t>发展</w:t>
      </w:r>
      <w:r w:rsidRPr="00D250B7">
        <w:rPr>
          <w:rFonts w:hint="eastAsia"/>
          <w:b/>
          <w:sz w:val="28"/>
          <w:szCs w:val="28"/>
        </w:rPr>
        <w:t>趋势及业务构成分析</w:t>
      </w:r>
    </w:p>
    <w:p w:rsidR="00551DDA" w:rsidRDefault="00551DDA" w:rsidP="00390C4C">
      <w:pPr>
        <w:spacing w:line="360" w:lineRule="auto"/>
        <w:jc w:val="center"/>
        <w:rPr>
          <w:sz w:val="28"/>
          <w:szCs w:val="28"/>
        </w:rPr>
      </w:pPr>
      <w:r w:rsidRPr="00BF24D2">
        <w:rPr>
          <w:noProof/>
          <w:sz w:val="28"/>
          <w:szCs w:val="28"/>
        </w:rPr>
        <w:drawing>
          <wp:inline distT="0" distB="0" distL="0" distR="0">
            <wp:extent cx="5410200" cy="3248025"/>
            <wp:effectExtent l="19050" t="0" r="19050" b="0"/>
            <wp:docPr id="13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D250B7" w:rsidRPr="0010239E">
        <w:rPr>
          <w:noProof/>
          <w:sz w:val="28"/>
          <w:szCs w:val="28"/>
        </w:rPr>
        <w:drawing>
          <wp:inline distT="0" distB="0" distL="0" distR="0">
            <wp:extent cx="3228975" cy="3248025"/>
            <wp:effectExtent l="19050" t="0" r="9525" b="0"/>
            <wp:docPr id="16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2012</w:t>
      </w:r>
      <w:r>
        <w:rPr>
          <w:rFonts w:hint="eastAsia"/>
          <w:sz w:val="28"/>
          <w:szCs w:val="28"/>
        </w:rPr>
        <w:t>年以来，行业实现的营业总收入为</w:t>
      </w:r>
      <w:r>
        <w:rPr>
          <w:rFonts w:hint="eastAsia"/>
          <w:sz w:val="28"/>
          <w:szCs w:val="28"/>
        </w:rPr>
        <w:t>2313.62</w:t>
      </w:r>
      <w:r>
        <w:rPr>
          <w:rFonts w:hint="eastAsia"/>
          <w:sz w:val="28"/>
          <w:szCs w:val="28"/>
        </w:rPr>
        <w:t>亿元，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281.04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64.17%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17.97%</w:t>
      </w:r>
      <w:r>
        <w:rPr>
          <w:rFonts w:hint="eastAsia"/>
          <w:sz w:val="28"/>
          <w:szCs w:val="28"/>
        </w:rPr>
        <w:t>。其中，总承包收入为</w:t>
      </w:r>
      <w:r>
        <w:rPr>
          <w:rFonts w:hint="eastAsia"/>
          <w:sz w:val="28"/>
          <w:szCs w:val="28"/>
        </w:rPr>
        <w:t>1434.94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62.02%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272.38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121.99%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30.45%</w:t>
      </w:r>
      <w:r>
        <w:rPr>
          <w:rFonts w:hint="eastAsia"/>
          <w:sz w:val="28"/>
          <w:szCs w:val="28"/>
        </w:rPr>
        <w:t>；勘测设计咨询收入为</w:t>
      </w:r>
      <w:r>
        <w:rPr>
          <w:rFonts w:hint="eastAsia"/>
          <w:sz w:val="28"/>
          <w:szCs w:val="28"/>
        </w:rPr>
        <w:t>878.68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37.98%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8.66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4.03%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1.33%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年以来行业实现的营业收入受其板块业务发展的影响，总承包业务实现的营业收入增速较快，勘测设计咨询业务实现的营业收入有增有降，增</w:t>
      </w:r>
      <w:r>
        <w:rPr>
          <w:rFonts w:hint="eastAsia"/>
          <w:sz w:val="28"/>
          <w:szCs w:val="28"/>
        </w:rPr>
        <w:lastRenderedPageBreak/>
        <w:t>幅相对稳定，行业实现的营业总收入的增长主要受总承包营收的影响。</w:t>
      </w:r>
    </w:p>
    <w:p w:rsidR="00D250B7" w:rsidRPr="00B07325" w:rsidRDefault="00B07325" w:rsidP="00B07325">
      <w:pPr>
        <w:spacing w:line="360" w:lineRule="auto"/>
        <w:ind w:firstLineChars="196" w:firstLine="551"/>
        <w:rPr>
          <w:sz w:val="28"/>
          <w:szCs w:val="28"/>
        </w:rPr>
      </w:pPr>
      <w:r w:rsidRPr="00D250B7">
        <w:rPr>
          <w:rFonts w:hint="eastAsia"/>
          <w:b/>
          <w:sz w:val="28"/>
          <w:szCs w:val="28"/>
        </w:rPr>
        <w:t>营业收入</w:t>
      </w:r>
      <w:r w:rsidR="007472E8">
        <w:rPr>
          <w:rFonts w:hint="eastAsia"/>
          <w:b/>
          <w:sz w:val="28"/>
          <w:szCs w:val="28"/>
        </w:rPr>
        <w:t>各企业</w:t>
      </w:r>
      <w:r>
        <w:rPr>
          <w:rFonts w:hint="eastAsia"/>
          <w:b/>
          <w:sz w:val="28"/>
          <w:szCs w:val="28"/>
        </w:rPr>
        <w:t>集团</w:t>
      </w:r>
      <w:r w:rsidRPr="00D250B7">
        <w:rPr>
          <w:rFonts w:hint="eastAsia"/>
          <w:b/>
          <w:sz w:val="28"/>
          <w:szCs w:val="28"/>
        </w:rPr>
        <w:t>构成分析</w:t>
      </w:r>
    </w:p>
    <w:p w:rsidR="00551DDA" w:rsidRPr="0010239E" w:rsidRDefault="00551DDA" w:rsidP="00390C4C">
      <w:pPr>
        <w:spacing w:line="360" w:lineRule="auto"/>
        <w:ind w:firstLineChars="450" w:firstLine="1260"/>
        <w:jc w:val="center"/>
        <w:rPr>
          <w:sz w:val="28"/>
          <w:szCs w:val="28"/>
        </w:rPr>
      </w:pPr>
      <w:r w:rsidRPr="00D1195F">
        <w:rPr>
          <w:noProof/>
          <w:sz w:val="28"/>
          <w:szCs w:val="28"/>
        </w:rPr>
        <w:drawing>
          <wp:inline distT="0" distB="0" distL="0" distR="0">
            <wp:extent cx="6195060" cy="2110740"/>
            <wp:effectExtent l="19050" t="0" r="15240" b="3810"/>
            <wp:docPr id="136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年以来，行业营业收入总额按各企业集团的占比，由高到低分别为：中电工程</w:t>
      </w:r>
      <w:r>
        <w:rPr>
          <w:rFonts w:hint="eastAsia"/>
          <w:sz w:val="28"/>
          <w:szCs w:val="28"/>
        </w:rPr>
        <w:t>750.08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32.42%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74.18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49.17%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14.26%</w:t>
      </w:r>
      <w:r>
        <w:rPr>
          <w:rFonts w:hint="eastAsia"/>
          <w:sz w:val="28"/>
          <w:szCs w:val="28"/>
        </w:rPr>
        <w:t>，增速最低；中国能建集团</w:t>
      </w:r>
      <w:r>
        <w:rPr>
          <w:rFonts w:hint="eastAsia"/>
          <w:sz w:val="28"/>
          <w:szCs w:val="28"/>
        </w:rPr>
        <w:t>628.53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27.17%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80.29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67.38%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18.73%</w:t>
      </w:r>
      <w:r>
        <w:rPr>
          <w:rFonts w:hint="eastAsia"/>
          <w:sz w:val="28"/>
          <w:szCs w:val="28"/>
        </w:rPr>
        <w:t>，增速位居第二；其他企业</w:t>
      </w:r>
      <w:r>
        <w:rPr>
          <w:rFonts w:hint="eastAsia"/>
          <w:sz w:val="28"/>
          <w:szCs w:val="28"/>
        </w:rPr>
        <w:t>601.67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26.01%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59.95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52.84%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15.19%</w:t>
      </w:r>
      <w:r>
        <w:rPr>
          <w:rFonts w:hint="eastAsia"/>
          <w:sz w:val="28"/>
          <w:szCs w:val="28"/>
        </w:rPr>
        <w:t>，增速位居第三；中国电建集团</w:t>
      </w:r>
      <w:r>
        <w:rPr>
          <w:rFonts w:hint="eastAsia"/>
          <w:sz w:val="28"/>
          <w:szCs w:val="28"/>
        </w:rPr>
        <w:t>333.34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14.41%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66.62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122.22%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30.49%</w:t>
      </w:r>
      <w:r>
        <w:rPr>
          <w:rFonts w:hint="eastAsia"/>
          <w:sz w:val="28"/>
          <w:szCs w:val="28"/>
        </w:rPr>
        <w:t>，增速最高。</w:t>
      </w:r>
    </w:p>
    <w:p w:rsidR="00233DDD" w:rsidRDefault="00233DDD" w:rsidP="00551DDA">
      <w:pPr>
        <w:spacing w:line="360" w:lineRule="auto"/>
        <w:ind w:firstLineChars="200" w:firstLine="560"/>
        <w:rPr>
          <w:sz w:val="28"/>
          <w:szCs w:val="28"/>
        </w:rPr>
      </w:pPr>
    </w:p>
    <w:p w:rsidR="00B07325" w:rsidRDefault="00B07325" w:rsidP="00B07325">
      <w:pPr>
        <w:spacing w:line="360" w:lineRule="auto"/>
        <w:ind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总承包</w:t>
      </w:r>
      <w:r w:rsidRPr="00D250B7">
        <w:rPr>
          <w:rFonts w:hint="eastAsia"/>
          <w:b/>
          <w:sz w:val="28"/>
          <w:szCs w:val="28"/>
        </w:rPr>
        <w:t>营业收入</w:t>
      </w:r>
      <w:r w:rsidR="007472E8">
        <w:rPr>
          <w:rFonts w:hint="eastAsia"/>
          <w:b/>
          <w:sz w:val="28"/>
          <w:szCs w:val="28"/>
        </w:rPr>
        <w:t>各企业</w:t>
      </w:r>
      <w:r>
        <w:rPr>
          <w:rFonts w:hint="eastAsia"/>
          <w:b/>
          <w:sz w:val="28"/>
          <w:szCs w:val="28"/>
        </w:rPr>
        <w:t>集团</w:t>
      </w:r>
      <w:r w:rsidRPr="00D250B7">
        <w:rPr>
          <w:rFonts w:hint="eastAsia"/>
          <w:b/>
          <w:sz w:val="28"/>
          <w:szCs w:val="28"/>
        </w:rPr>
        <w:t>构成分析</w:t>
      </w:r>
    </w:p>
    <w:p w:rsidR="00551DDA" w:rsidRDefault="00551DDA" w:rsidP="00390C4C">
      <w:pPr>
        <w:spacing w:line="360" w:lineRule="auto"/>
        <w:ind w:firstLineChars="550" w:firstLine="1540"/>
        <w:jc w:val="center"/>
        <w:rPr>
          <w:sz w:val="28"/>
          <w:szCs w:val="28"/>
        </w:rPr>
      </w:pPr>
      <w:r w:rsidRPr="00D1195F">
        <w:rPr>
          <w:noProof/>
          <w:sz w:val="28"/>
          <w:szCs w:val="28"/>
        </w:rPr>
        <w:drawing>
          <wp:inline distT="0" distB="0" distL="0" distR="0">
            <wp:extent cx="5821680" cy="2305050"/>
            <wp:effectExtent l="19050" t="0" r="26670" b="0"/>
            <wp:docPr id="137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年以来，行业实现的总承包收入按各企业集团的占比，由高到低分别为：中电工程</w:t>
      </w:r>
      <w:r>
        <w:rPr>
          <w:rFonts w:hint="eastAsia"/>
          <w:sz w:val="28"/>
          <w:szCs w:val="28"/>
        </w:rPr>
        <w:t>497.84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34.69%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65.6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72.24%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19.87%</w:t>
      </w:r>
      <w:r>
        <w:rPr>
          <w:rFonts w:hint="eastAsia"/>
          <w:sz w:val="28"/>
          <w:szCs w:val="28"/>
        </w:rPr>
        <w:t>，增速最低；中国能建集团</w:t>
      </w:r>
      <w:r>
        <w:rPr>
          <w:rFonts w:hint="eastAsia"/>
          <w:sz w:val="28"/>
          <w:szCs w:val="28"/>
        </w:rPr>
        <w:t>386.99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26.97%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88.13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164.79%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38.35%</w:t>
      </w:r>
      <w:r>
        <w:rPr>
          <w:rFonts w:hint="eastAsia"/>
          <w:sz w:val="28"/>
          <w:szCs w:val="28"/>
        </w:rPr>
        <w:t>，增速位居第二位；其他企业</w:t>
      </w:r>
      <w:r>
        <w:rPr>
          <w:rFonts w:hint="eastAsia"/>
          <w:sz w:val="28"/>
          <w:szCs w:val="28"/>
        </w:rPr>
        <w:t>344.9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24.04%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52.92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95.55%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25.05%</w:t>
      </w:r>
      <w:r>
        <w:rPr>
          <w:rFonts w:hint="eastAsia"/>
          <w:sz w:val="28"/>
          <w:szCs w:val="28"/>
        </w:rPr>
        <w:t>，增速位居第三位；中国电建集团</w:t>
      </w:r>
      <w:r>
        <w:rPr>
          <w:rFonts w:hint="eastAsia"/>
          <w:sz w:val="28"/>
          <w:szCs w:val="28"/>
        </w:rPr>
        <w:t>205.21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14.30%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65.73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278.40%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55.83%</w:t>
      </w:r>
      <w:r>
        <w:rPr>
          <w:rFonts w:hint="eastAsia"/>
          <w:sz w:val="28"/>
          <w:szCs w:val="28"/>
        </w:rPr>
        <w:t>，增速居首位。</w:t>
      </w:r>
    </w:p>
    <w:p w:rsidR="00EF0452" w:rsidRDefault="00EF0452" w:rsidP="00B07325">
      <w:pPr>
        <w:spacing w:line="360" w:lineRule="auto"/>
        <w:ind w:firstLineChars="196" w:firstLine="551"/>
        <w:rPr>
          <w:b/>
          <w:sz w:val="28"/>
          <w:szCs w:val="28"/>
        </w:rPr>
      </w:pPr>
    </w:p>
    <w:p w:rsidR="00EF0452" w:rsidRDefault="00EF0452" w:rsidP="00B07325">
      <w:pPr>
        <w:spacing w:line="360" w:lineRule="auto"/>
        <w:ind w:firstLineChars="196" w:firstLine="551"/>
        <w:rPr>
          <w:b/>
          <w:sz w:val="28"/>
          <w:szCs w:val="28"/>
        </w:rPr>
      </w:pPr>
    </w:p>
    <w:p w:rsidR="00B07325" w:rsidRPr="00B07325" w:rsidRDefault="00B07325" w:rsidP="00B07325">
      <w:pPr>
        <w:spacing w:line="360" w:lineRule="auto"/>
        <w:ind w:firstLineChars="196" w:firstLine="551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勘测设计咨询</w:t>
      </w:r>
      <w:r w:rsidRPr="00D250B7">
        <w:rPr>
          <w:rFonts w:hint="eastAsia"/>
          <w:b/>
          <w:sz w:val="28"/>
          <w:szCs w:val="28"/>
        </w:rPr>
        <w:t>营业收入</w:t>
      </w:r>
      <w:r w:rsidR="007472E8">
        <w:rPr>
          <w:rFonts w:hint="eastAsia"/>
          <w:b/>
          <w:sz w:val="28"/>
          <w:szCs w:val="28"/>
        </w:rPr>
        <w:t>各企业</w:t>
      </w:r>
      <w:r>
        <w:rPr>
          <w:rFonts w:hint="eastAsia"/>
          <w:b/>
          <w:sz w:val="28"/>
          <w:szCs w:val="28"/>
        </w:rPr>
        <w:t>集团</w:t>
      </w:r>
      <w:r w:rsidRPr="00D250B7">
        <w:rPr>
          <w:rFonts w:hint="eastAsia"/>
          <w:b/>
          <w:sz w:val="28"/>
          <w:szCs w:val="28"/>
        </w:rPr>
        <w:t>构成分析</w:t>
      </w:r>
    </w:p>
    <w:p w:rsidR="00551DDA" w:rsidRDefault="00551DDA" w:rsidP="00390C4C">
      <w:pPr>
        <w:spacing w:line="360" w:lineRule="auto"/>
        <w:ind w:firstLineChars="550" w:firstLine="1540"/>
        <w:jc w:val="center"/>
        <w:rPr>
          <w:sz w:val="28"/>
          <w:szCs w:val="28"/>
        </w:rPr>
      </w:pPr>
      <w:r w:rsidRPr="00D1195F">
        <w:rPr>
          <w:noProof/>
          <w:sz w:val="28"/>
          <w:szCs w:val="28"/>
        </w:rPr>
        <w:drawing>
          <wp:inline distT="0" distB="0" distL="0" distR="0">
            <wp:extent cx="5863590" cy="1965960"/>
            <wp:effectExtent l="19050" t="0" r="22860" b="0"/>
            <wp:docPr id="138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年以来，行业勘测设计咨询收入按各企业集团的占比，由高到低分别为：其他企业</w:t>
      </w:r>
      <w:r>
        <w:rPr>
          <w:rFonts w:hint="eastAsia"/>
          <w:sz w:val="28"/>
          <w:szCs w:val="28"/>
        </w:rPr>
        <w:t>256.77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29.22%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7.03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12.11%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3.88%</w:t>
      </w:r>
      <w:r>
        <w:rPr>
          <w:rFonts w:hint="eastAsia"/>
          <w:sz w:val="28"/>
          <w:szCs w:val="28"/>
        </w:rPr>
        <w:t>，增速位居第二位；中电工程</w:t>
      </w:r>
      <w:r>
        <w:rPr>
          <w:rFonts w:hint="eastAsia"/>
          <w:sz w:val="28"/>
          <w:szCs w:val="28"/>
        </w:rPr>
        <w:t>252.24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28.71%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8.58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14.29%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4.55%</w:t>
      </w:r>
      <w:r>
        <w:rPr>
          <w:rFonts w:hint="eastAsia"/>
          <w:sz w:val="28"/>
          <w:szCs w:val="28"/>
        </w:rPr>
        <w:t>，增速最高；中国能建集团</w:t>
      </w:r>
      <w:r>
        <w:rPr>
          <w:rFonts w:hint="eastAsia"/>
          <w:sz w:val="28"/>
          <w:szCs w:val="28"/>
        </w:rPr>
        <w:t>241.54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27.49%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7.84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11.94%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-4.15%</w:t>
      </w:r>
      <w:r>
        <w:rPr>
          <w:rFonts w:hint="eastAsia"/>
          <w:sz w:val="28"/>
          <w:szCs w:val="28"/>
        </w:rPr>
        <w:t>，仅该集团为负增长；中国电建集团</w:t>
      </w:r>
      <w:r>
        <w:rPr>
          <w:rFonts w:hint="eastAsia"/>
          <w:sz w:val="28"/>
          <w:szCs w:val="28"/>
        </w:rPr>
        <w:t>128.13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14.58%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0.89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2.88%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0.95%</w:t>
      </w:r>
      <w:r>
        <w:rPr>
          <w:rFonts w:hint="eastAsia"/>
          <w:sz w:val="28"/>
          <w:szCs w:val="28"/>
        </w:rPr>
        <w:t>，增速位居第三位。</w:t>
      </w:r>
    </w:p>
    <w:p w:rsidR="002F70A6" w:rsidRDefault="002F70A6" w:rsidP="00B07325">
      <w:pPr>
        <w:spacing w:line="360" w:lineRule="auto"/>
        <w:ind w:firstLineChars="200" w:firstLine="562"/>
        <w:rPr>
          <w:b/>
          <w:sz w:val="28"/>
          <w:szCs w:val="28"/>
        </w:rPr>
      </w:pPr>
    </w:p>
    <w:p w:rsidR="00181148" w:rsidRDefault="00181148" w:rsidP="00B07325">
      <w:pPr>
        <w:spacing w:line="360" w:lineRule="auto"/>
        <w:ind w:firstLineChars="200" w:firstLine="562"/>
        <w:rPr>
          <w:b/>
          <w:sz w:val="28"/>
          <w:szCs w:val="28"/>
        </w:rPr>
      </w:pPr>
    </w:p>
    <w:p w:rsidR="00233DDD" w:rsidRDefault="00233DDD" w:rsidP="00B07325">
      <w:pPr>
        <w:spacing w:line="360" w:lineRule="auto"/>
        <w:ind w:firstLineChars="200" w:firstLine="562"/>
        <w:rPr>
          <w:b/>
          <w:sz w:val="28"/>
          <w:szCs w:val="28"/>
        </w:rPr>
      </w:pPr>
    </w:p>
    <w:p w:rsidR="00B07325" w:rsidRPr="00B07325" w:rsidRDefault="00B07325" w:rsidP="00B07325">
      <w:pPr>
        <w:spacing w:line="360" w:lineRule="auto"/>
        <w:ind w:firstLineChars="200" w:firstLine="562"/>
        <w:rPr>
          <w:b/>
          <w:sz w:val="28"/>
          <w:szCs w:val="28"/>
        </w:rPr>
      </w:pPr>
      <w:r w:rsidRPr="00B07325">
        <w:rPr>
          <w:rFonts w:hint="eastAsia"/>
          <w:b/>
          <w:sz w:val="28"/>
          <w:szCs w:val="28"/>
        </w:rPr>
        <w:lastRenderedPageBreak/>
        <w:t>人均营业收入发展</w:t>
      </w:r>
      <w:r w:rsidR="0006334C">
        <w:rPr>
          <w:rFonts w:hint="eastAsia"/>
          <w:b/>
          <w:sz w:val="28"/>
          <w:szCs w:val="28"/>
        </w:rPr>
        <w:t>情况</w:t>
      </w:r>
      <w:r w:rsidRPr="00B07325">
        <w:rPr>
          <w:rFonts w:hint="eastAsia"/>
          <w:b/>
          <w:sz w:val="28"/>
          <w:szCs w:val="28"/>
        </w:rPr>
        <w:t>分析</w:t>
      </w:r>
    </w:p>
    <w:p w:rsidR="00B07325" w:rsidRDefault="00B07325" w:rsidP="00390C4C">
      <w:pPr>
        <w:spacing w:line="360" w:lineRule="auto"/>
        <w:ind w:firstLineChars="400" w:firstLine="1120"/>
        <w:jc w:val="center"/>
        <w:rPr>
          <w:sz w:val="28"/>
          <w:szCs w:val="28"/>
        </w:rPr>
      </w:pPr>
      <w:r w:rsidRPr="00F83E52">
        <w:rPr>
          <w:noProof/>
          <w:sz w:val="28"/>
          <w:szCs w:val="28"/>
        </w:rPr>
        <w:drawing>
          <wp:inline distT="0" distB="0" distL="0" distR="0">
            <wp:extent cx="7143750" cy="3124200"/>
            <wp:effectExtent l="19050" t="0" r="19050" b="0"/>
            <wp:docPr id="163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07325" w:rsidRDefault="00B07325" w:rsidP="00B07325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年以来，行业人均营业收入不断提高，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年人均营业收入增长了</w:t>
      </w:r>
      <w:r>
        <w:rPr>
          <w:rFonts w:hint="eastAsia"/>
          <w:sz w:val="28"/>
          <w:szCs w:val="28"/>
        </w:rPr>
        <w:t>71.43</w:t>
      </w:r>
      <w:r>
        <w:rPr>
          <w:rFonts w:hint="eastAsia"/>
          <w:sz w:val="28"/>
          <w:szCs w:val="28"/>
        </w:rPr>
        <w:t>万元，增长了</w:t>
      </w:r>
      <w:r>
        <w:rPr>
          <w:rFonts w:hint="eastAsia"/>
          <w:sz w:val="28"/>
          <w:szCs w:val="28"/>
        </w:rPr>
        <w:t>57.32%</w:t>
      </w:r>
      <w:r>
        <w:rPr>
          <w:rFonts w:hint="eastAsia"/>
          <w:sz w:val="28"/>
          <w:szCs w:val="28"/>
        </w:rPr>
        <w:t>，按行业各企业集团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年人均营业收入增长的幅度，由高至低分别为：中国电建集团，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年人均营业收入增长了</w:t>
      </w:r>
      <w:r>
        <w:rPr>
          <w:rFonts w:hint="eastAsia"/>
          <w:sz w:val="28"/>
          <w:szCs w:val="28"/>
        </w:rPr>
        <w:t>91.28</w:t>
      </w:r>
      <w:r>
        <w:rPr>
          <w:rFonts w:hint="eastAsia"/>
          <w:sz w:val="28"/>
          <w:szCs w:val="28"/>
        </w:rPr>
        <w:t>万元，增长了</w:t>
      </w:r>
      <w:r>
        <w:rPr>
          <w:rFonts w:hint="eastAsia"/>
          <w:sz w:val="28"/>
          <w:szCs w:val="28"/>
        </w:rPr>
        <w:t>101.7%</w:t>
      </w:r>
      <w:r>
        <w:rPr>
          <w:rFonts w:hint="eastAsia"/>
          <w:sz w:val="28"/>
          <w:szCs w:val="28"/>
        </w:rPr>
        <w:t>；中国能建集团，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年人均营业收入增长了</w:t>
      </w:r>
      <w:r>
        <w:rPr>
          <w:rFonts w:hint="eastAsia"/>
          <w:sz w:val="28"/>
          <w:szCs w:val="28"/>
        </w:rPr>
        <w:t>70.38</w:t>
      </w:r>
      <w:r>
        <w:rPr>
          <w:rFonts w:hint="eastAsia"/>
          <w:sz w:val="28"/>
          <w:szCs w:val="28"/>
        </w:rPr>
        <w:t>万元，增长了</w:t>
      </w:r>
      <w:r w:rsidRPr="005F442F">
        <w:rPr>
          <w:sz w:val="28"/>
          <w:szCs w:val="28"/>
        </w:rPr>
        <w:t>59.15%</w:t>
      </w:r>
      <w:r w:rsidRPr="005F442F"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t>其他企业，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年人均营业收入增长了</w:t>
      </w:r>
      <w:r>
        <w:rPr>
          <w:rFonts w:hint="eastAsia"/>
          <w:sz w:val="28"/>
          <w:szCs w:val="28"/>
        </w:rPr>
        <w:t>55.49</w:t>
      </w:r>
      <w:r>
        <w:rPr>
          <w:rFonts w:hint="eastAsia"/>
          <w:sz w:val="28"/>
          <w:szCs w:val="28"/>
        </w:rPr>
        <w:t>万元，增长了</w:t>
      </w:r>
      <w:r>
        <w:rPr>
          <w:rFonts w:hint="eastAsia"/>
          <w:sz w:val="28"/>
          <w:szCs w:val="28"/>
        </w:rPr>
        <w:t>51.45%</w:t>
      </w:r>
      <w:r>
        <w:rPr>
          <w:rFonts w:hint="eastAsia"/>
          <w:sz w:val="28"/>
          <w:szCs w:val="28"/>
        </w:rPr>
        <w:t>，中电工程，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年人均营业收入增长了</w:t>
      </w:r>
      <w:r>
        <w:rPr>
          <w:rFonts w:hint="eastAsia"/>
          <w:sz w:val="28"/>
          <w:szCs w:val="28"/>
        </w:rPr>
        <w:t>78.03</w:t>
      </w:r>
      <w:r>
        <w:rPr>
          <w:rFonts w:hint="eastAsia"/>
          <w:sz w:val="28"/>
          <w:szCs w:val="28"/>
        </w:rPr>
        <w:t>万元，增长了</w:t>
      </w:r>
      <w:r>
        <w:rPr>
          <w:rFonts w:hint="eastAsia"/>
          <w:sz w:val="28"/>
          <w:szCs w:val="28"/>
        </w:rPr>
        <w:t>44.17%</w:t>
      </w:r>
      <w:r>
        <w:rPr>
          <w:rFonts w:hint="eastAsia"/>
          <w:sz w:val="28"/>
          <w:szCs w:val="28"/>
        </w:rPr>
        <w:t>。</w:t>
      </w:r>
    </w:p>
    <w:p w:rsidR="00B07325" w:rsidRDefault="00B07325" w:rsidP="00B07325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14" w:name="_Toc450668445"/>
      <w:r w:rsidRPr="00B07325">
        <w:rPr>
          <w:rFonts w:asciiTheme="majorEastAsia" w:eastAsiaTheme="majorEastAsia" w:hAnsiTheme="majorEastAsia" w:hint="eastAsia"/>
          <w:sz w:val="28"/>
          <w:szCs w:val="28"/>
        </w:rPr>
        <w:lastRenderedPageBreak/>
        <w:t>2、境外</w:t>
      </w:r>
      <w:r>
        <w:rPr>
          <w:rFonts w:asciiTheme="majorEastAsia" w:eastAsiaTheme="majorEastAsia" w:hAnsiTheme="majorEastAsia" w:hint="eastAsia"/>
          <w:sz w:val="28"/>
          <w:szCs w:val="28"/>
        </w:rPr>
        <w:t>营业</w:t>
      </w:r>
      <w:r w:rsidRPr="00B07325">
        <w:rPr>
          <w:rFonts w:asciiTheme="majorEastAsia" w:eastAsiaTheme="majorEastAsia" w:hAnsiTheme="majorEastAsia" w:hint="eastAsia"/>
          <w:sz w:val="28"/>
          <w:szCs w:val="28"/>
        </w:rPr>
        <w:t>收入</w:t>
      </w:r>
      <w:bookmarkEnd w:id="14"/>
    </w:p>
    <w:p w:rsidR="00B07325" w:rsidRPr="00B07325" w:rsidRDefault="00B07325" w:rsidP="00B07325">
      <w:pPr>
        <w:jc w:val="center"/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境外收入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6" w:type="pct"/>
        <w:jc w:val="center"/>
        <w:tblInd w:w="250" w:type="dxa"/>
        <w:tblLook w:val="04A0"/>
      </w:tblPr>
      <w:tblGrid>
        <w:gridCol w:w="2857"/>
        <w:gridCol w:w="1351"/>
        <w:gridCol w:w="1350"/>
        <w:gridCol w:w="1350"/>
        <w:gridCol w:w="1350"/>
        <w:gridCol w:w="1350"/>
        <w:gridCol w:w="2392"/>
        <w:gridCol w:w="1892"/>
      </w:tblGrid>
      <w:tr w:rsidR="00551DDA" w:rsidRPr="008D02D4" w:rsidTr="00390C4C">
        <w:trPr>
          <w:trHeight w:val="407"/>
          <w:tblHeader/>
          <w:jc w:val="center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1DDA" w:rsidRPr="008D02D4" w:rsidRDefault="00551DDA" w:rsidP="00D250B7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境外收入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24.86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27.58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30.40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29.61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112.45 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6.00%</w:t>
            </w:r>
          </w:p>
        </w:tc>
      </w:tr>
      <w:tr w:rsidR="00551DDA" w:rsidRPr="008D02D4" w:rsidTr="00390C4C">
        <w:trPr>
          <w:trHeight w:val="444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12.24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7.25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14.36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10.08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43.93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39.07%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-6.27%</w:t>
            </w:r>
          </w:p>
        </w:tc>
      </w:tr>
      <w:tr w:rsidR="00551DDA" w:rsidRPr="008D02D4" w:rsidTr="00390C4C">
        <w:trPr>
          <w:trHeight w:val="444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8.65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11.42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9.93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12.27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42.27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37.59%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12.36%</w:t>
            </w:r>
          </w:p>
        </w:tc>
      </w:tr>
      <w:tr w:rsidR="00551DDA" w:rsidRPr="008D02D4" w:rsidTr="00390C4C">
        <w:trPr>
          <w:trHeight w:val="444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1.83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3.37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4.06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4.23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13.49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12.00%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32.22%</w:t>
            </w:r>
          </w:p>
        </w:tc>
      </w:tr>
      <w:tr w:rsidR="00551DDA" w:rsidRPr="008D02D4" w:rsidTr="00390C4C">
        <w:trPr>
          <w:trHeight w:val="444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5.54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2.05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3.03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12.76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11.35%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12.29%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境外总承包收入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14.14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19.11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21.48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21.80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76.53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2C502F">
              <w:rPr>
                <w:rFonts w:ascii="宋体" w:hAnsi="宋体" w:cs="宋体" w:hint="eastAsia"/>
                <w:b/>
                <w:color w:val="FF0000"/>
                <w:kern w:val="0"/>
                <w:sz w:val="18"/>
                <w:szCs w:val="18"/>
              </w:rPr>
              <w:t>15.52</w:t>
            </w:r>
            <w:r w:rsidRPr="008D02D4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4.82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3.11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8.11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5.41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21.45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28.03%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3.92%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6.29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8.58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10.93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34.72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45.37%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20.22%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1.12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2.85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8.53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11.15%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36.52%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5.40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1.91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2.61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11.83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15.46%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10.97%</w:t>
            </w:r>
          </w:p>
        </w:tc>
      </w:tr>
      <w:tr w:rsidR="00551DDA" w:rsidRPr="008D02D4" w:rsidTr="00390C4C">
        <w:trPr>
          <w:trHeight w:val="372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境外勘测设计咨询收入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10.72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8.47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8.92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7.81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35.92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-10.02%</w:t>
            </w:r>
          </w:p>
        </w:tc>
      </w:tr>
      <w:tr w:rsidR="00551DDA" w:rsidRPr="008D02D4" w:rsidTr="00390C4C">
        <w:trPr>
          <w:trHeight w:val="408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7.42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6.25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4.67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22.48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62.58%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-14.30%</w:t>
            </w:r>
          </w:p>
        </w:tc>
      </w:tr>
      <w:tr w:rsidR="00551DDA" w:rsidRPr="008D02D4" w:rsidTr="00390C4C">
        <w:trPr>
          <w:trHeight w:val="408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2.36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2.50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1.35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7.55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21.02%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-17.19%</w:t>
            </w:r>
          </w:p>
        </w:tc>
      </w:tr>
      <w:tr w:rsidR="00551DDA" w:rsidRPr="008D02D4" w:rsidTr="00390C4C">
        <w:trPr>
          <w:trHeight w:val="408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0.71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1.69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1.18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1.38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4.96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13.81%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24.80%</w:t>
            </w:r>
          </w:p>
        </w:tc>
      </w:tr>
      <w:tr w:rsidR="00551DDA" w:rsidRPr="008D02D4" w:rsidTr="00390C4C">
        <w:trPr>
          <w:trHeight w:val="408"/>
          <w:jc w:val="center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0.23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0.14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0.42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0.93 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2.59%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8D02D4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8D02D4">
              <w:rPr>
                <w:rFonts w:ascii="宋体" w:hAnsi="宋体" w:cs="宋体" w:hint="eastAsia"/>
                <w:kern w:val="0"/>
                <w:sz w:val="18"/>
                <w:szCs w:val="18"/>
              </w:rPr>
              <w:t>22.23%</w:t>
            </w:r>
          </w:p>
        </w:tc>
      </w:tr>
    </w:tbl>
    <w:p w:rsidR="00B07325" w:rsidRDefault="00B07325" w:rsidP="00B07325">
      <w:pPr>
        <w:spacing w:line="360" w:lineRule="auto"/>
        <w:ind w:firstLineChars="196" w:firstLine="551"/>
        <w:rPr>
          <w:b/>
          <w:sz w:val="28"/>
          <w:szCs w:val="28"/>
        </w:rPr>
      </w:pPr>
    </w:p>
    <w:p w:rsidR="00B07325" w:rsidRDefault="00B07325" w:rsidP="00B07325">
      <w:pPr>
        <w:spacing w:line="360" w:lineRule="auto"/>
        <w:ind w:firstLineChars="196" w:firstLine="551"/>
        <w:rPr>
          <w:b/>
          <w:sz w:val="28"/>
          <w:szCs w:val="28"/>
        </w:rPr>
      </w:pPr>
    </w:p>
    <w:p w:rsidR="00B07325" w:rsidRPr="00B07325" w:rsidRDefault="00B07325" w:rsidP="00B07325">
      <w:pPr>
        <w:spacing w:line="360" w:lineRule="auto"/>
        <w:ind w:firstLineChars="196" w:firstLine="551"/>
        <w:rPr>
          <w:b/>
          <w:sz w:val="28"/>
          <w:szCs w:val="28"/>
        </w:rPr>
      </w:pPr>
      <w:r w:rsidRPr="00B07325">
        <w:rPr>
          <w:rFonts w:hint="eastAsia"/>
          <w:b/>
          <w:sz w:val="28"/>
          <w:szCs w:val="28"/>
        </w:rPr>
        <w:lastRenderedPageBreak/>
        <w:t>境外收入</w:t>
      </w:r>
      <w:r w:rsidR="0006334C">
        <w:rPr>
          <w:rFonts w:hint="eastAsia"/>
          <w:b/>
          <w:sz w:val="28"/>
          <w:szCs w:val="28"/>
        </w:rPr>
        <w:t>发展</w:t>
      </w:r>
      <w:r w:rsidRPr="00B07325">
        <w:rPr>
          <w:rFonts w:hint="eastAsia"/>
          <w:b/>
          <w:sz w:val="28"/>
          <w:szCs w:val="28"/>
        </w:rPr>
        <w:t>趋势及业务构成分析</w:t>
      </w:r>
    </w:p>
    <w:p w:rsidR="00551DDA" w:rsidRDefault="00551DDA" w:rsidP="00390C4C">
      <w:pPr>
        <w:spacing w:line="360" w:lineRule="auto"/>
        <w:ind w:firstLineChars="450" w:firstLine="1260"/>
        <w:jc w:val="center"/>
        <w:rPr>
          <w:sz w:val="28"/>
          <w:szCs w:val="28"/>
        </w:rPr>
      </w:pPr>
      <w:r w:rsidRPr="00AC4F8E">
        <w:rPr>
          <w:noProof/>
          <w:sz w:val="28"/>
          <w:szCs w:val="28"/>
        </w:rPr>
        <w:drawing>
          <wp:inline distT="0" distB="0" distL="0" distR="0">
            <wp:extent cx="6697980" cy="2499360"/>
            <wp:effectExtent l="19050" t="0" r="26670" b="0"/>
            <wp:docPr id="139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51DDA" w:rsidRDefault="00551DDA" w:rsidP="00390C4C">
      <w:pPr>
        <w:spacing w:line="360" w:lineRule="auto"/>
        <w:jc w:val="center"/>
        <w:rPr>
          <w:sz w:val="28"/>
          <w:szCs w:val="28"/>
        </w:rPr>
      </w:pPr>
      <w:r w:rsidRPr="006F501F">
        <w:rPr>
          <w:noProof/>
          <w:sz w:val="28"/>
          <w:szCs w:val="28"/>
        </w:rPr>
        <w:drawing>
          <wp:inline distT="0" distB="0" distL="0" distR="0">
            <wp:extent cx="3897630" cy="1771650"/>
            <wp:effectExtent l="19050" t="0" r="26670" b="0"/>
            <wp:docPr id="140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6F501F">
        <w:rPr>
          <w:noProof/>
          <w:sz w:val="28"/>
          <w:szCs w:val="28"/>
        </w:rPr>
        <w:drawing>
          <wp:inline distT="0" distB="0" distL="0" distR="0">
            <wp:extent cx="4183380" cy="1775460"/>
            <wp:effectExtent l="19050" t="0" r="26670" b="0"/>
            <wp:docPr id="14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年以来，行业实现的境外营业收入为</w:t>
      </w:r>
      <w:r>
        <w:rPr>
          <w:rFonts w:hint="eastAsia"/>
          <w:sz w:val="28"/>
          <w:szCs w:val="28"/>
        </w:rPr>
        <w:t>112.45</w:t>
      </w:r>
      <w:r>
        <w:rPr>
          <w:rFonts w:hint="eastAsia"/>
          <w:sz w:val="28"/>
          <w:szCs w:val="28"/>
        </w:rPr>
        <w:t>亿元，占行业营业收入总额的</w:t>
      </w:r>
      <w:r>
        <w:rPr>
          <w:rFonts w:hint="eastAsia"/>
          <w:sz w:val="28"/>
          <w:szCs w:val="28"/>
        </w:rPr>
        <w:t>4.86%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4.75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19.11%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年以来的平均增长速度为</w:t>
      </w:r>
      <w:r>
        <w:rPr>
          <w:rFonts w:hint="eastAsia"/>
          <w:sz w:val="28"/>
          <w:szCs w:val="28"/>
        </w:rPr>
        <w:t>6%</w:t>
      </w:r>
      <w:r>
        <w:rPr>
          <w:rFonts w:hint="eastAsia"/>
          <w:sz w:val="28"/>
          <w:szCs w:val="28"/>
        </w:rPr>
        <w:t>。其中，境外总承包收入</w:t>
      </w:r>
      <w:r>
        <w:rPr>
          <w:rFonts w:hint="eastAsia"/>
          <w:sz w:val="28"/>
          <w:szCs w:val="28"/>
        </w:rPr>
        <w:t>76.53</w:t>
      </w:r>
      <w:r>
        <w:rPr>
          <w:rFonts w:hint="eastAsia"/>
          <w:sz w:val="28"/>
          <w:szCs w:val="28"/>
        </w:rPr>
        <w:t>亿元，占行业境外营业收入总额的</w:t>
      </w:r>
      <w:r>
        <w:rPr>
          <w:rFonts w:hint="eastAsia"/>
          <w:sz w:val="28"/>
          <w:szCs w:val="28"/>
        </w:rPr>
        <w:t>68.06%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7.66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54.17%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15.52%</w:t>
      </w:r>
      <w:r>
        <w:rPr>
          <w:rFonts w:hint="eastAsia"/>
          <w:sz w:val="28"/>
          <w:szCs w:val="28"/>
        </w:rPr>
        <w:t>；</w:t>
      </w:r>
      <w:r>
        <w:rPr>
          <w:rFonts w:hint="eastAsia"/>
          <w:sz w:val="28"/>
          <w:szCs w:val="28"/>
        </w:rPr>
        <w:lastRenderedPageBreak/>
        <w:t>境外勘测设计咨询收入为</w:t>
      </w:r>
      <w:r>
        <w:rPr>
          <w:rFonts w:hint="eastAsia"/>
          <w:sz w:val="28"/>
          <w:szCs w:val="28"/>
        </w:rPr>
        <w:t>35.92</w:t>
      </w:r>
      <w:r>
        <w:rPr>
          <w:rFonts w:hint="eastAsia"/>
          <w:sz w:val="28"/>
          <w:szCs w:val="28"/>
        </w:rPr>
        <w:t>亿元，占行业营业收入总额的</w:t>
      </w:r>
      <w:r>
        <w:rPr>
          <w:rFonts w:hint="eastAsia"/>
          <w:sz w:val="28"/>
          <w:szCs w:val="28"/>
        </w:rPr>
        <w:t>31.94%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2.91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27.15%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-10.02%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年以来行业实现的境外营业收入受其板块业务发展的影响，境外总承包业务实现的营业收入呈现增长趋势，境外勘测设计咨询营业收入下降幅度较大。</w:t>
      </w:r>
    </w:p>
    <w:p w:rsidR="00B07325" w:rsidRPr="00B07325" w:rsidRDefault="00B07325" w:rsidP="00B07325">
      <w:pPr>
        <w:spacing w:line="360" w:lineRule="auto"/>
        <w:ind w:firstLineChars="200" w:firstLine="562"/>
        <w:rPr>
          <w:b/>
          <w:sz w:val="28"/>
          <w:szCs w:val="28"/>
        </w:rPr>
      </w:pPr>
      <w:r w:rsidRPr="00B07325">
        <w:rPr>
          <w:rFonts w:hint="eastAsia"/>
          <w:b/>
          <w:sz w:val="28"/>
          <w:szCs w:val="28"/>
        </w:rPr>
        <w:t>境外收入</w:t>
      </w:r>
      <w:r w:rsidR="007472E8">
        <w:rPr>
          <w:rFonts w:hint="eastAsia"/>
          <w:b/>
          <w:sz w:val="28"/>
          <w:szCs w:val="28"/>
        </w:rPr>
        <w:t>各企业</w:t>
      </w:r>
      <w:r w:rsidRPr="00B07325">
        <w:rPr>
          <w:rFonts w:hint="eastAsia"/>
          <w:b/>
          <w:sz w:val="28"/>
          <w:szCs w:val="28"/>
        </w:rPr>
        <w:t>集团构成分析</w:t>
      </w:r>
    </w:p>
    <w:p w:rsidR="00551DDA" w:rsidRPr="0009438F" w:rsidRDefault="00551DDA" w:rsidP="00390C4C">
      <w:pPr>
        <w:spacing w:line="360" w:lineRule="auto"/>
        <w:ind w:firstLineChars="750" w:firstLine="2100"/>
        <w:jc w:val="center"/>
        <w:rPr>
          <w:sz w:val="28"/>
          <w:szCs w:val="28"/>
        </w:rPr>
      </w:pPr>
      <w:r w:rsidRPr="00A77CAC">
        <w:rPr>
          <w:noProof/>
          <w:sz w:val="28"/>
          <w:szCs w:val="28"/>
        </w:rPr>
        <w:drawing>
          <wp:inline distT="0" distB="0" distL="0" distR="0">
            <wp:extent cx="5486400" cy="2127885"/>
            <wp:effectExtent l="19050" t="0" r="19050" b="5715"/>
            <wp:docPr id="14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年以来，行业境外营业总收入按各企业集团的占比，由高到低分别为：中电工程</w:t>
      </w:r>
      <w:r>
        <w:rPr>
          <w:rFonts w:hint="eastAsia"/>
          <w:sz w:val="28"/>
          <w:szCs w:val="28"/>
        </w:rPr>
        <w:t>43.93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39.07%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2.16</w:t>
      </w:r>
      <w:r>
        <w:rPr>
          <w:rFonts w:hint="eastAsia"/>
          <w:sz w:val="28"/>
          <w:szCs w:val="28"/>
        </w:rPr>
        <w:t>亿元，减少</w:t>
      </w:r>
      <w:r>
        <w:rPr>
          <w:rFonts w:hint="eastAsia"/>
          <w:sz w:val="28"/>
          <w:szCs w:val="28"/>
        </w:rPr>
        <w:t>17.65%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-6.27%</w:t>
      </w:r>
      <w:r>
        <w:rPr>
          <w:rFonts w:hint="eastAsia"/>
          <w:sz w:val="28"/>
          <w:szCs w:val="28"/>
        </w:rPr>
        <w:t>，仅该企业集团为负增长；中国能建集团</w:t>
      </w:r>
      <w:r>
        <w:rPr>
          <w:rFonts w:hint="eastAsia"/>
          <w:sz w:val="28"/>
          <w:szCs w:val="28"/>
        </w:rPr>
        <w:t>42.27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37.59%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3.62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41.85%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12.36%</w:t>
      </w:r>
      <w:r>
        <w:rPr>
          <w:rFonts w:hint="eastAsia"/>
          <w:sz w:val="28"/>
          <w:szCs w:val="28"/>
        </w:rPr>
        <w:t>，增速位居第二位；中国电建集团</w:t>
      </w:r>
      <w:r>
        <w:rPr>
          <w:rFonts w:hint="eastAsia"/>
          <w:sz w:val="28"/>
          <w:szCs w:val="28"/>
        </w:rPr>
        <w:t xml:space="preserve"> 13.49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2.4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131.15%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32.22%</w:t>
      </w:r>
      <w:r>
        <w:rPr>
          <w:rFonts w:hint="eastAsia"/>
          <w:sz w:val="28"/>
          <w:szCs w:val="28"/>
        </w:rPr>
        <w:t>，增速位居首位；其他企业</w:t>
      </w:r>
      <w:r>
        <w:rPr>
          <w:rFonts w:hint="eastAsia"/>
          <w:sz w:val="28"/>
          <w:szCs w:val="28"/>
        </w:rPr>
        <w:t>12.76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11.35%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0.89</w:t>
      </w:r>
      <w:r>
        <w:rPr>
          <w:rFonts w:hint="eastAsia"/>
          <w:sz w:val="28"/>
          <w:szCs w:val="28"/>
        </w:rPr>
        <w:t>亿元，</w:t>
      </w:r>
      <w:r>
        <w:rPr>
          <w:rFonts w:hint="eastAsia"/>
          <w:sz w:val="28"/>
          <w:szCs w:val="28"/>
        </w:rPr>
        <w:lastRenderedPageBreak/>
        <w:t>增长了</w:t>
      </w:r>
      <w:r>
        <w:rPr>
          <w:rFonts w:hint="eastAsia"/>
          <w:sz w:val="28"/>
          <w:szCs w:val="28"/>
        </w:rPr>
        <w:t>41.59%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12.29%</w:t>
      </w:r>
      <w:r>
        <w:rPr>
          <w:rFonts w:hint="eastAsia"/>
          <w:sz w:val="28"/>
          <w:szCs w:val="28"/>
        </w:rPr>
        <w:t>，增速位居第三位。</w:t>
      </w:r>
    </w:p>
    <w:p w:rsidR="00B07325" w:rsidRPr="00B07325" w:rsidRDefault="00B07325" w:rsidP="00B07325">
      <w:pPr>
        <w:spacing w:line="360" w:lineRule="auto"/>
        <w:ind w:firstLineChars="200" w:firstLine="562"/>
        <w:rPr>
          <w:b/>
          <w:sz w:val="28"/>
          <w:szCs w:val="28"/>
        </w:rPr>
      </w:pPr>
      <w:r w:rsidRPr="00B07325">
        <w:rPr>
          <w:rFonts w:hint="eastAsia"/>
          <w:b/>
          <w:sz w:val="28"/>
          <w:szCs w:val="28"/>
        </w:rPr>
        <w:t>境外总承包收入</w:t>
      </w:r>
      <w:r w:rsidR="007472E8">
        <w:rPr>
          <w:rFonts w:hint="eastAsia"/>
          <w:b/>
          <w:sz w:val="28"/>
          <w:szCs w:val="28"/>
        </w:rPr>
        <w:t>各企业</w:t>
      </w:r>
      <w:r w:rsidRPr="00B07325">
        <w:rPr>
          <w:rFonts w:hint="eastAsia"/>
          <w:b/>
          <w:sz w:val="28"/>
          <w:szCs w:val="28"/>
        </w:rPr>
        <w:t>集团构成分析</w:t>
      </w:r>
    </w:p>
    <w:p w:rsidR="00551DDA" w:rsidRDefault="00551DDA" w:rsidP="00390C4C">
      <w:pPr>
        <w:spacing w:line="360" w:lineRule="auto"/>
        <w:ind w:firstLineChars="650" w:firstLine="1820"/>
        <w:jc w:val="center"/>
        <w:rPr>
          <w:sz w:val="28"/>
          <w:szCs w:val="28"/>
        </w:rPr>
      </w:pPr>
      <w:r w:rsidRPr="000835F5">
        <w:rPr>
          <w:noProof/>
          <w:sz w:val="28"/>
          <w:szCs w:val="28"/>
        </w:rPr>
        <w:drawing>
          <wp:inline distT="0" distB="0" distL="0" distR="0">
            <wp:extent cx="6008370" cy="2484120"/>
            <wp:effectExtent l="19050" t="0" r="11430" b="0"/>
            <wp:docPr id="14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年以来，行业境外总承包营业收入按各企业集团的占比，由高到低分别为：中国能建集团</w:t>
      </w:r>
      <w:r>
        <w:rPr>
          <w:rFonts w:hint="eastAsia"/>
          <w:sz w:val="28"/>
          <w:szCs w:val="28"/>
        </w:rPr>
        <w:t>34.72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45.37%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年增加了</w:t>
      </w:r>
      <w:r>
        <w:rPr>
          <w:rFonts w:hint="eastAsia"/>
          <w:sz w:val="28"/>
          <w:szCs w:val="28"/>
        </w:rPr>
        <w:t>4.64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73.77%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20.22%</w:t>
      </w:r>
      <w:r>
        <w:rPr>
          <w:rFonts w:hint="eastAsia"/>
          <w:sz w:val="28"/>
          <w:szCs w:val="28"/>
        </w:rPr>
        <w:t>，增速位居第二位；中电工程</w:t>
      </w:r>
      <w:r>
        <w:rPr>
          <w:rFonts w:hint="eastAsia"/>
          <w:sz w:val="28"/>
          <w:szCs w:val="28"/>
        </w:rPr>
        <w:t>21.45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28.03%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0.59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12.24%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3.92%</w:t>
      </w:r>
      <w:r>
        <w:rPr>
          <w:rFonts w:hint="eastAsia"/>
          <w:sz w:val="28"/>
          <w:szCs w:val="28"/>
        </w:rPr>
        <w:t>，增速最低；其他企业</w:t>
      </w:r>
      <w:r>
        <w:rPr>
          <w:rFonts w:hint="eastAsia"/>
          <w:sz w:val="28"/>
          <w:szCs w:val="28"/>
        </w:rPr>
        <w:t>11.83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15.46%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0.7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36.65%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10.97%</w:t>
      </w:r>
      <w:r>
        <w:rPr>
          <w:rFonts w:hint="eastAsia"/>
          <w:sz w:val="28"/>
          <w:szCs w:val="28"/>
        </w:rPr>
        <w:t>，增速位居第三位；中国电建集团</w:t>
      </w:r>
      <w:r>
        <w:rPr>
          <w:rFonts w:hint="eastAsia"/>
          <w:sz w:val="28"/>
          <w:szCs w:val="28"/>
        </w:rPr>
        <w:t>8.53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11.15%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1.73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154.46%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36.52%</w:t>
      </w:r>
      <w:r>
        <w:rPr>
          <w:rFonts w:hint="eastAsia"/>
          <w:sz w:val="28"/>
          <w:szCs w:val="28"/>
        </w:rPr>
        <w:t>，增速位居首位。</w:t>
      </w:r>
    </w:p>
    <w:p w:rsidR="00B07325" w:rsidRPr="00B07325" w:rsidRDefault="00B07325" w:rsidP="00B07325">
      <w:pPr>
        <w:spacing w:line="360" w:lineRule="auto"/>
        <w:ind w:firstLineChars="200" w:firstLine="562"/>
        <w:rPr>
          <w:sz w:val="28"/>
          <w:szCs w:val="28"/>
        </w:rPr>
      </w:pPr>
      <w:r w:rsidRPr="00B07325">
        <w:rPr>
          <w:rFonts w:hint="eastAsia"/>
          <w:b/>
          <w:sz w:val="28"/>
          <w:szCs w:val="28"/>
        </w:rPr>
        <w:lastRenderedPageBreak/>
        <w:t>境外</w:t>
      </w:r>
      <w:r>
        <w:rPr>
          <w:rFonts w:hint="eastAsia"/>
          <w:b/>
          <w:sz w:val="28"/>
          <w:szCs w:val="28"/>
        </w:rPr>
        <w:t>勘测设计咨询</w:t>
      </w:r>
      <w:r w:rsidRPr="00B07325">
        <w:rPr>
          <w:rFonts w:hint="eastAsia"/>
          <w:b/>
          <w:sz w:val="28"/>
          <w:szCs w:val="28"/>
        </w:rPr>
        <w:t>收入</w:t>
      </w:r>
      <w:r w:rsidR="007472E8">
        <w:rPr>
          <w:rFonts w:hint="eastAsia"/>
          <w:b/>
          <w:sz w:val="28"/>
          <w:szCs w:val="28"/>
        </w:rPr>
        <w:t>各企业</w:t>
      </w:r>
      <w:r w:rsidRPr="00B07325">
        <w:rPr>
          <w:rFonts w:hint="eastAsia"/>
          <w:b/>
          <w:sz w:val="28"/>
          <w:szCs w:val="28"/>
        </w:rPr>
        <w:t>集团构成分析</w:t>
      </w:r>
    </w:p>
    <w:p w:rsidR="00551DDA" w:rsidRPr="000835F5" w:rsidRDefault="00551DDA" w:rsidP="00390C4C">
      <w:pPr>
        <w:spacing w:line="360" w:lineRule="auto"/>
        <w:ind w:firstLineChars="650" w:firstLine="1820"/>
        <w:jc w:val="center"/>
        <w:rPr>
          <w:sz w:val="28"/>
          <w:szCs w:val="28"/>
        </w:rPr>
      </w:pPr>
      <w:r w:rsidRPr="00AD08FA">
        <w:rPr>
          <w:noProof/>
          <w:sz w:val="28"/>
          <w:szCs w:val="28"/>
        </w:rPr>
        <w:drawing>
          <wp:inline distT="0" distB="0" distL="0" distR="0">
            <wp:extent cx="5486400" cy="2263140"/>
            <wp:effectExtent l="19050" t="0" r="19050" b="3810"/>
            <wp:docPr id="14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年以来，行业境外勘测设计咨询收入按各企业集团的占比，由高到低分别为：中电工程</w:t>
      </w:r>
      <w:r>
        <w:rPr>
          <w:rFonts w:hint="eastAsia"/>
          <w:sz w:val="28"/>
          <w:szCs w:val="28"/>
        </w:rPr>
        <w:t>22.48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62.58%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2.75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37.06%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-14.30%</w:t>
      </w:r>
      <w:r>
        <w:rPr>
          <w:rFonts w:hint="eastAsia"/>
          <w:sz w:val="28"/>
          <w:szCs w:val="28"/>
        </w:rPr>
        <w:t>，为负增长；中国能建集团</w:t>
      </w:r>
      <w:r>
        <w:rPr>
          <w:rFonts w:hint="eastAsia"/>
          <w:sz w:val="28"/>
          <w:szCs w:val="28"/>
        </w:rPr>
        <w:t>7.55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21.02%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1.02</w:t>
      </w:r>
      <w:r>
        <w:rPr>
          <w:rFonts w:hint="eastAsia"/>
          <w:sz w:val="28"/>
          <w:szCs w:val="28"/>
        </w:rPr>
        <w:t>亿元，减少了</w:t>
      </w:r>
      <w:r>
        <w:rPr>
          <w:rFonts w:hint="eastAsia"/>
          <w:sz w:val="28"/>
          <w:szCs w:val="28"/>
        </w:rPr>
        <w:t>43.22%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-17.19%</w:t>
      </w:r>
      <w:r>
        <w:rPr>
          <w:rFonts w:hint="eastAsia"/>
          <w:sz w:val="28"/>
          <w:szCs w:val="28"/>
        </w:rPr>
        <w:t>，为负增长，下降幅度最大；中国电建集团</w:t>
      </w:r>
      <w:r>
        <w:rPr>
          <w:rFonts w:hint="eastAsia"/>
          <w:sz w:val="28"/>
          <w:szCs w:val="28"/>
        </w:rPr>
        <w:t>4.96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13.81%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0.67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94.37%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24.8%</w:t>
      </w:r>
      <w:r>
        <w:rPr>
          <w:rFonts w:hint="eastAsia"/>
          <w:sz w:val="28"/>
          <w:szCs w:val="28"/>
        </w:rPr>
        <w:t>，增速最高；其他企业</w:t>
      </w:r>
      <w:r>
        <w:rPr>
          <w:rFonts w:hint="eastAsia"/>
          <w:sz w:val="28"/>
          <w:szCs w:val="28"/>
        </w:rPr>
        <w:t>0.93</w:t>
      </w:r>
      <w:r>
        <w:rPr>
          <w:rFonts w:hint="eastAsia"/>
          <w:sz w:val="28"/>
          <w:szCs w:val="28"/>
        </w:rPr>
        <w:t>亿元，占</w:t>
      </w:r>
      <w:r>
        <w:rPr>
          <w:rFonts w:hint="eastAsia"/>
          <w:sz w:val="28"/>
          <w:szCs w:val="28"/>
        </w:rPr>
        <w:t>2.59%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0.19</w:t>
      </w:r>
      <w:r>
        <w:rPr>
          <w:rFonts w:hint="eastAsia"/>
          <w:sz w:val="28"/>
          <w:szCs w:val="28"/>
        </w:rPr>
        <w:t>亿元，增长了</w:t>
      </w:r>
      <w:r>
        <w:rPr>
          <w:rFonts w:hint="eastAsia"/>
          <w:sz w:val="28"/>
          <w:szCs w:val="28"/>
        </w:rPr>
        <w:t>82.61%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</w:t>
      </w:r>
      <w:r>
        <w:rPr>
          <w:rFonts w:hint="eastAsia"/>
          <w:sz w:val="28"/>
          <w:szCs w:val="28"/>
        </w:rPr>
        <w:t>22.23%</w:t>
      </w:r>
      <w:r>
        <w:rPr>
          <w:rFonts w:hint="eastAsia"/>
          <w:sz w:val="28"/>
          <w:szCs w:val="28"/>
        </w:rPr>
        <w:t>，增速位居第二位。占比较高的中电工程和中国能建集团，均为负增长，平均增长速度分别为</w:t>
      </w:r>
      <w:r>
        <w:rPr>
          <w:rFonts w:hint="eastAsia"/>
          <w:sz w:val="28"/>
          <w:szCs w:val="28"/>
        </w:rPr>
        <w:t>-14.30%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-17.19%</w:t>
      </w:r>
      <w:r>
        <w:rPr>
          <w:rFonts w:hint="eastAsia"/>
          <w:sz w:val="28"/>
          <w:szCs w:val="28"/>
        </w:rPr>
        <w:t>，占比较低的中国电建集团和其他企业，均有较大幅度的增长，平均增长速度分别为</w:t>
      </w:r>
      <w:r>
        <w:rPr>
          <w:rFonts w:hint="eastAsia"/>
          <w:sz w:val="28"/>
          <w:szCs w:val="28"/>
        </w:rPr>
        <w:t>24.8%</w:t>
      </w:r>
      <w:r>
        <w:rPr>
          <w:rFonts w:hint="eastAsia"/>
          <w:sz w:val="28"/>
          <w:szCs w:val="28"/>
        </w:rPr>
        <w:t>及</w:t>
      </w:r>
      <w:r>
        <w:rPr>
          <w:rFonts w:hint="eastAsia"/>
          <w:sz w:val="28"/>
          <w:szCs w:val="28"/>
        </w:rPr>
        <w:t>22.23%</w:t>
      </w:r>
      <w:r>
        <w:rPr>
          <w:rFonts w:hint="eastAsia"/>
          <w:sz w:val="28"/>
          <w:szCs w:val="28"/>
        </w:rPr>
        <w:t>。</w:t>
      </w:r>
    </w:p>
    <w:p w:rsidR="00551DDA" w:rsidRDefault="00AF3F1C" w:rsidP="00AF3F1C">
      <w:pPr>
        <w:pStyle w:val="3"/>
        <w:ind w:firstLineChars="196" w:firstLine="551"/>
        <w:rPr>
          <w:rFonts w:asciiTheme="majorEastAsia" w:eastAsiaTheme="majorEastAsia" w:hAnsiTheme="majorEastAsia"/>
          <w:kern w:val="0"/>
          <w:sz w:val="28"/>
          <w:szCs w:val="28"/>
        </w:rPr>
      </w:pPr>
      <w:bookmarkStart w:id="15" w:name="_Toc450668446"/>
      <w:r w:rsidRPr="00AF3F1C">
        <w:rPr>
          <w:rFonts w:asciiTheme="majorEastAsia" w:eastAsiaTheme="majorEastAsia" w:hAnsiTheme="majorEastAsia" w:hint="eastAsia"/>
          <w:kern w:val="0"/>
          <w:sz w:val="28"/>
          <w:szCs w:val="28"/>
        </w:rPr>
        <w:lastRenderedPageBreak/>
        <w:t>3</w:t>
      </w:r>
      <w:r w:rsidR="00551DDA" w:rsidRPr="00AF3F1C">
        <w:rPr>
          <w:rFonts w:asciiTheme="majorEastAsia" w:eastAsiaTheme="majorEastAsia" w:hAnsiTheme="majorEastAsia" w:hint="eastAsia"/>
          <w:kern w:val="0"/>
          <w:sz w:val="28"/>
          <w:szCs w:val="28"/>
        </w:rPr>
        <w:t>、利润总额及净利润</w:t>
      </w:r>
      <w:bookmarkEnd w:id="15"/>
    </w:p>
    <w:p w:rsidR="00AF3F1C" w:rsidRPr="00AF3F1C" w:rsidRDefault="00AF3F1C" w:rsidP="00AF3F1C">
      <w:pPr>
        <w:jc w:val="center"/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利润总额及净利润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6" w:type="pct"/>
        <w:tblInd w:w="250" w:type="dxa"/>
        <w:tblLook w:val="04A0"/>
      </w:tblPr>
      <w:tblGrid>
        <w:gridCol w:w="2440"/>
        <w:gridCol w:w="1332"/>
        <w:gridCol w:w="1329"/>
        <w:gridCol w:w="1328"/>
        <w:gridCol w:w="1328"/>
        <w:gridCol w:w="1328"/>
        <w:gridCol w:w="2445"/>
        <w:gridCol w:w="2362"/>
      </w:tblGrid>
      <w:tr w:rsidR="00551DDA" w:rsidRPr="00FE1D7D" w:rsidTr="00390C4C">
        <w:trPr>
          <w:trHeight w:val="468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</w:t>
            </w: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占比%</w:t>
            </w:r>
          </w:p>
        </w:tc>
        <w:tc>
          <w:tcPr>
            <w:tcW w:w="8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实现利润总额(亿元）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50.42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52.39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53.91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62.48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219.20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7.41%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13.19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13.46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13.76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17.10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57.51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26.24%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9.04%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11.65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11.11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11.28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11.71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45.75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20.87%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0.17%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8.29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9.57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10.69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11.08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39.63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18.08%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10.15%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17.29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18.25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18.18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22.59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76.31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34.81%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9.32%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净利润(亿元）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42.00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43.82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44.79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51.50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 xml:space="preserve">182.11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7.03%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10.93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11.37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11.60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14.36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48.26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26.50%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9.52%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9.63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9.24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9.51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9.77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38.15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20.95%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0.48%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6.78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8.06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8.92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9.10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32.86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18.04%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10.31%</w:t>
            </w:r>
          </w:p>
        </w:tc>
      </w:tr>
      <w:tr w:rsidR="00551DDA" w:rsidRPr="00FE1D7D" w:rsidTr="00390C4C">
        <w:trPr>
          <w:trHeight w:val="468"/>
        </w:trPr>
        <w:tc>
          <w:tcPr>
            <w:tcW w:w="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14.66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15.15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14.76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18.27 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62.84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34.51%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FE1D7D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FE1D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7.61%</w:t>
            </w:r>
          </w:p>
        </w:tc>
      </w:tr>
    </w:tbl>
    <w:p w:rsidR="00551DDA" w:rsidRDefault="00551DDA" w:rsidP="00390C4C">
      <w:pPr>
        <w:spacing w:line="360" w:lineRule="auto"/>
        <w:ind w:firstLineChars="396" w:firstLine="1109"/>
        <w:jc w:val="center"/>
        <w:rPr>
          <w:rFonts w:ascii="宋体" w:hAnsi="宋体" w:cs="宋体"/>
          <w:bCs/>
          <w:color w:val="000000"/>
          <w:kern w:val="0"/>
          <w:sz w:val="28"/>
          <w:szCs w:val="28"/>
        </w:rPr>
      </w:pPr>
      <w:r w:rsidRPr="00FE1D7D">
        <w:rPr>
          <w:rFonts w:ascii="宋体" w:hAnsi="宋体" w:cs="宋体"/>
          <w:bCs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6343650" cy="2320925"/>
            <wp:effectExtent l="19050" t="0" r="19050" b="3175"/>
            <wp:docPr id="146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51DDA" w:rsidRDefault="00551DDA" w:rsidP="00390C4C">
      <w:pPr>
        <w:spacing w:line="360" w:lineRule="auto"/>
        <w:ind w:firstLineChars="196" w:firstLine="549"/>
        <w:jc w:val="center"/>
        <w:rPr>
          <w:rFonts w:ascii="宋体" w:hAnsi="宋体" w:cs="宋体"/>
          <w:bCs/>
          <w:color w:val="000000"/>
          <w:kern w:val="0"/>
          <w:sz w:val="28"/>
          <w:szCs w:val="28"/>
        </w:rPr>
      </w:pPr>
      <w:r w:rsidRPr="00C7763A">
        <w:rPr>
          <w:rFonts w:ascii="宋体" w:hAnsi="宋体" w:cs="宋体"/>
          <w:bCs/>
          <w:noProof/>
          <w:color w:val="000000"/>
          <w:kern w:val="0"/>
          <w:sz w:val="28"/>
          <w:szCs w:val="28"/>
        </w:rPr>
        <w:drawing>
          <wp:inline distT="0" distB="0" distL="0" distR="0">
            <wp:extent cx="3745230" cy="2156460"/>
            <wp:effectExtent l="19050" t="0" r="26670" b="0"/>
            <wp:docPr id="14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C7763A">
        <w:rPr>
          <w:rFonts w:ascii="宋体" w:hAnsi="宋体" w:cs="宋体"/>
          <w:bCs/>
          <w:noProof/>
          <w:color w:val="000000"/>
          <w:kern w:val="0"/>
          <w:sz w:val="28"/>
          <w:szCs w:val="28"/>
        </w:rPr>
        <w:drawing>
          <wp:inline distT="0" distB="0" distL="0" distR="0">
            <wp:extent cx="4095750" cy="2156460"/>
            <wp:effectExtent l="19050" t="0" r="19050" b="0"/>
            <wp:docPr id="14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rFonts w:ascii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2012年以来，行业实现的利润总额219.2亿元，2015年较2012年增长12.06亿元，增长了23.92%，2012年以来平均增长速度7.41%。按行业各企业集团实现利润总额的占比，由高到低分别为：其他企业76.31亿元，占34.81%，2015年较2012年增长5.3亿元，增长了30.65%，2012年以来平均增长速度9.32%，增速位居第二位；中电工程57.51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lastRenderedPageBreak/>
        <w:t>亿元，占26.24%，2015年较2012年增长3.91亿元，增长了29.64%，2012年以来平均增长速度9.04%，增速位居第三位；中国能建集团45.75亿元，占20.87%，2015年较2012年增长0.06亿元，增长了0.52%，2012年以来平均增长速度0.17%，增速最低；中国电建集团39.62亿元，占18.08%，2015年较2012年增长2.79亿元，增长了33.66%，2012年以来平均增长速度10.15%，增速最高。</w:t>
      </w:r>
    </w:p>
    <w:p w:rsidR="00551DDA" w:rsidRDefault="00551DDA" w:rsidP="00551DDA">
      <w:pPr>
        <w:spacing w:line="360" w:lineRule="auto"/>
        <w:ind w:firstLineChars="200" w:firstLine="560"/>
        <w:rPr>
          <w:rFonts w:ascii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2012年以来，行业实现的净利润182.11亿元，2015年较2012年增长9.5亿元，增长了22.62%，2012年以来平均增长速度7.03%。按行业各企业集团实现净利润的占比，由高到低分别为：其他企业62.84亿元，占34.51%，2015年较2012年增长3.61亿元，增长了24.62%，2012年以来平均增长速度7.61%，增速位居第三位；中电工程48.26亿元，占26.5%，2015年较2012年增长3.43亿元，增长了31.38%，2012年以来平均增长速度9.52%，增速位居第二位；中国能建集团38.15亿元，占20.95%，2015年较2012年增长0.14亿元，增长了1.45%，2012年以来平均增长速度0.48%，增速最低；中国电建集团32.86亿元，占18.04%，2015年较2012年增长2.32亿元，增长了34.22%，2012年以来平均增长速度10.31%，增速最高。</w:t>
      </w:r>
    </w:p>
    <w:p w:rsidR="00AF3F1C" w:rsidRDefault="00AF3F1C" w:rsidP="00551DDA">
      <w:pPr>
        <w:spacing w:line="360" w:lineRule="auto"/>
        <w:ind w:firstLineChars="200" w:firstLine="560"/>
        <w:rPr>
          <w:rFonts w:ascii="宋体" w:hAnsi="宋体" w:cs="宋体"/>
          <w:bCs/>
          <w:color w:val="000000"/>
          <w:kern w:val="0"/>
          <w:sz w:val="28"/>
          <w:szCs w:val="28"/>
        </w:rPr>
      </w:pPr>
    </w:p>
    <w:p w:rsidR="00AF3F1C" w:rsidRDefault="00AF3F1C" w:rsidP="00551DDA">
      <w:pPr>
        <w:spacing w:line="360" w:lineRule="auto"/>
        <w:ind w:firstLineChars="200" w:firstLine="560"/>
        <w:rPr>
          <w:rFonts w:ascii="宋体" w:hAnsi="宋体" w:cs="宋体"/>
          <w:bCs/>
          <w:color w:val="000000"/>
          <w:kern w:val="0"/>
          <w:sz w:val="28"/>
          <w:szCs w:val="28"/>
        </w:rPr>
      </w:pPr>
    </w:p>
    <w:p w:rsidR="00AF3F1C" w:rsidRPr="00AF3F1C" w:rsidRDefault="00AF3F1C" w:rsidP="00AF3F1C">
      <w:pPr>
        <w:pStyle w:val="3"/>
        <w:ind w:firstLineChars="196" w:firstLine="551"/>
        <w:rPr>
          <w:rFonts w:asciiTheme="majorEastAsia" w:eastAsiaTheme="majorEastAsia" w:hAnsiTheme="majorEastAsia"/>
          <w:kern w:val="0"/>
          <w:sz w:val="28"/>
          <w:szCs w:val="28"/>
        </w:rPr>
      </w:pPr>
      <w:bookmarkStart w:id="16" w:name="_Toc450668447"/>
      <w:r w:rsidRPr="00AF3F1C">
        <w:rPr>
          <w:rFonts w:asciiTheme="majorEastAsia" w:eastAsiaTheme="majorEastAsia" w:hAnsiTheme="majorEastAsia" w:hint="eastAsia"/>
          <w:kern w:val="0"/>
          <w:sz w:val="28"/>
          <w:szCs w:val="28"/>
        </w:rPr>
        <w:lastRenderedPageBreak/>
        <w:t>4</w:t>
      </w:r>
      <w:r w:rsidR="00551DDA" w:rsidRPr="00AF3F1C">
        <w:rPr>
          <w:rFonts w:asciiTheme="majorEastAsia" w:eastAsiaTheme="majorEastAsia" w:hAnsiTheme="majorEastAsia" w:hint="eastAsia"/>
          <w:kern w:val="0"/>
          <w:sz w:val="28"/>
          <w:szCs w:val="28"/>
        </w:rPr>
        <w:t>、经济增加值</w:t>
      </w:r>
      <w:bookmarkEnd w:id="16"/>
    </w:p>
    <w:p w:rsidR="00551DDA" w:rsidRPr="00AF3F1C" w:rsidRDefault="00AF3F1C" w:rsidP="00AF3F1C"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 w:rsidR="007472E8">
        <w:rPr>
          <w:rFonts w:asciiTheme="minorEastAsia" w:eastAsiaTheme="minorEastAsia" w:hAnsiTheme="minorEastAsia" w:hint="eastAsia"/>
          <w:b/>
          <w:sz w:val="24"/>
        </w:rPr>
        <w:t>经济增加值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  <w:r w:rsidRPr="00AF3F1C">
        <w:rPr>
          <w:rFonts w:ascii="宋体" w:hAnsi="宋体" w:cs="宋体" w:hint="eastAsia"/>
          <w:b/>
          <w:bCs/>
          <w:color w:val="000000"/>
          <w:kern w:val="0"/>
          <w:sz w:val="24"/>
        </w:rPr>
        <w:t xml:space="preserve"> </w:t>
      </w:r>
      <w:r w:rsidR="00551DDA" w:rsidRPr="00AF3F1C">
        <w:rPr>
          <w:rFonts w:ascii="宋体" w:hAnsi="宋体" w:cs="宋体" w:hint="eastAsia"/>
          <w:b/>
          <w:bCs/>
          <w:color w:val="000000"/>
          <w:kern w:val="0"/>
          <w:sz w:val="24"/>
        </w:rPr>
        <w:t>(亿元）</w:t>
      </w:r>
    </w:p>
    <w:tbl>
      <w:tblPr>
        <w:tblW w:w="4845" w:type="pct"/>
        <w:jc w:val="center"/>
        <w:tblInd w:w="250" w:type="dxa"/>
        <w:tblLook w:val="04A0"/>
      </w:tblPr>
      <w:tblGrid>
        <w:gridCol w:w="2514"/>
        <w:gridCol w:w="1389"/>
        <w:gridCol w:w="1389"/>
        <w:gridCol w:w="1386"/>
        <w:gridCol w:w="1386"/>
        <w:gridCol w:w="1386"/>
        <w:gridCol w:w="2381"/>
        <w:gridCol w:w="2058"/>
      </w:tblGrid>
      <w:tr w:rsidR="00551DDA" w:rsidRPr="009B7AA9" w:rsidTr="00390C4C">
        <w:trPr>
          <w:trHeight w:val="468"/>
          <w:tblHeader/>
          <w:jc w:val="center"/>
        </w:trPr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总计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</w:t>
            </w:r>
            <w:r w:rsidRPr="00FE1D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占比%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9B7AA9" w:rsidTr="00390C4C">
        <w:trPr>
          <w:trHeight w:val="468"/>
          <w:jc w:val="center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经济增加值(亿元）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 xml:space="preserve">27.50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 xml:space="preserve">38.96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 xml:space="preserve">37.42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 xml:space="preserve">38.65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 xml:space="preserve">142.53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100.00%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12.01%</w:t>
            </w:r>
          </w:p>
        </w:tc>
      </w:tr>
      <w:tr w:rsidR="00551DDA" w:rsidRPr="009B7AA9" w:rsidTr="00390C4C">
        <w:trPr>
          <w:trHeight w:val="468"/>
          <w:jc w:val="center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9.51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9.61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9.30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11.46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39.88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27.98%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6.41%</w:t>
            </w:r>
          </w:p>
        </w:tc>
      </w:tr>
      <w:tr w:rsidR="00551DDA" w:rsidRPr="009B7AA9" w:rsidTr="00390C4C">
        <w:trPr>
          <w:trHeight w:val="468"/>
          <w:jc w:val="center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7.81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9.53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8.85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9.39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35.58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24.96%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6.33%</w:t>
            </w:r>
          </w:p>
        </w:tc>
      </w:tr>
      <w:tr w:rsidR="00551DDA" w:rsidRPr="009B7AA9" w:rsidTr="00390C4C">
        <w:trPr>
          <w:trHeight w:val="468"/>
          <w:jc w:val="center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4.92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8.11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8.85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9.12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31.00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21.75%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22.84%</w:t>
            </w:r>
          </w:p>
        </w:tc>
      </w:tr>
      <w:tr w:rsidR="00551DDA" w:rsidRPr="009B7AA9" w:rsidTr="00390C4C">
        <w:trPr>
          <w:trHeight w:val="468"/>
          <w:jc w:val="center"/>
        </w:trPr>
        <w:tc>
          <w:tcPr>
            <w:tcW w:w="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5.26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11.71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10.42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8.68 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36.07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25.31%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9B7AA9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9B7A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18.17%</w:t>
            </w:r>
          </w:p>
        </w:tc>
      </w:tr>
    </w:tbl>
    <w:p w:rsidR="00551DDA" w:rsidRDefault="00551DDA" w:rsidP="00390C4C">
      <w:pPr>
        <w:spacing w:line="360" w:lineRule="auto"/>
        <w:jc w:val="center"/>
        <w:rPr>
          <w:b/>
          <w:bCs/>
          <w:sz w:val="28"/>
          <w:szCs w:val="28"/>
        </w:rPr>
      </w:pPr>
      <w:r w:rsidRPr="00A250FB">
        <w:rPr>
          <w:b/>
          <w:bCs/>
          <w:noProof/>
          <w:sz w:val="28"/>
          <w:szCs w:val="28"/>
        </w:rPr>
        <w:drawing>
          <wp:inline distT="0" distB="0" distL="0" distR="0">
            <wp:extent cx="4638675" cy="2266950"/>
            <wp:effectExtent l="19050" t="0" r="9525" b="0"/>
            <wp:docPr id="149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960F88">
        <w:rPr>
          <w:b/>
          <w:bCs/>
          <w:noProof/>
          <w:sz w:val="28"/>
          <w:szCs w:val="28"/>
        </w:rPr>
        <w:drawing>
          <wp:inline distT="0" distB="0" distL="0" distR="0">
            <wp:extent cx="4152900" cy="2266950"/>
            <wp:effectExtent l="19050" t="0" r="19050" b="0"/>
            <wp:docPr id="150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51DDA" w:rsidRPr="00294142" w:rsidRDefault="00551DDA" w:rsidP="00551DDA">
      <w:pPr>
        <w:spacing w:line="360" w:lineRule="auto"/>
        <w:ind w:firstLineChars="200" w:firstLine="560"/>
        <w:rPr>
          <w:b/>
          <w:bCs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2012年以来，行业经济增加值</w:t>
      </w:r>
      <w:r w:rsidRPr="009B7AA9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142.53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亿元，2015年较2012年增长11.15亿元，增长了40.55%，2012年以来平均增长速度12.01%。按行业各企业集团经济增加值的占比，由高到低分别为：中电工程39.88亿元，占27.98%，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lastRenderedPageBreak/>
        <w:t>2015年较2012年增长1.95亿元，增长了20.50%，2012年以来平均增长速度6.41%，增速位居第三位；其他企业36.07亿元，占25.31%，2015年较2012年增长3.42亿元，增长了65.02%，2012年以来平均增长速度18.17%，增速位居第二位；中国能建集团35.58亿元，占24.96%，2015年较2012年增长1.58亿元，增长了20.23%，2012年以来平均增长速度6.33%，增速最低；中国电建集团31亿元，占21.75%，2015年较2012年增长4.2亿元，增长了85.37%，2012年以来平均增长速度22.84%，增速最高。</w:t>
      </w:r>
    </w:p>
    <w:p w:rsidR="00551DDA" w:rsidRDefault="00551DDA" w:rsidP="00AF3F1C">
      <w:pPr>
        <w:pStyle w:val="2"/>
        <w:ind w:firstLineChars="198" w:firstLine="596"/>
        <w:rPr>
          <w:rFonts w:asciiTheme="majorEastAsia" w:eastAsiaTheme="majorEastAsia" w:hAnsiTheme="majorEastAsia"/>
          <w:sz w:val="30"/>
          <w:szCs w:val="30"/>
        </w:rPr>
      </w:pPr>
      <w:bookmarkStart w:id="17" w:name="_Toc450668448"/>
      <w:r w:rsidRPr="00AF3F1C">
        <w:rPr>
          <w:rFonts w:asciiTheme="majorEastAsia" w:eastAsiaTheme="majorEastAsia" w:hAnsiTheme="majorEastAsia" w:hint="eastAsia"/>
          <w:sz w:val="30"/>
          <w:szCs w:val="30"/>
        </w:rPr>
        <w:t>四</w:t>
      </w:r>
      <w:r w:rsidR="00AF3F1C" w:rsidRPr="00AF3F1C">
        <w:rPr>
          <w:rFonts w:asciiTheme="majorEastAsia" w:eastAsiaTheme="majorEastAsia" w:hAnsiTheme="majorEastAsia" w:hint="eastAsia"/>
          <w:sz w:val="30"/>
          <w:szCs w:val="30"/>
        </w:rPr>
        <w:t>、</w:t>
      </w:r>
      <w:r w:rsidRPr="00AF3F1C">
        <w:rPr>
          <w:rFonts w:asciiTheme="majorEastAsia" w:eastAsiaTheme="majorEastAsia" w:hAnsiTheme="majorEastAsia" w:hint="eastAsia"/>
          <w:sz w:val="30"/>
          <w:szCs w:val="30"/>
        </w:rPr>
        <w:t>人力资源指标分析</w:t>
      </w:r>
      <w:bookmarkEnd w:id="17"/>
    </w:p>
    <w:p w:rsidR="00AF3F1C" w:rsidRPr="00AF3F1C" w:rsidRDefault="00AF3F1C" w:rsidP="00AF3F1C">
      <w:pPr>
        <w:jc w:val="center"/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 w:rsidR="007472E8">
        <w:rPr>
          <w:rFonts w:asciiTheme="minorEastAsia" w:eastAsiaTheme="minorEastAsia" w:hAnsiTheme="minorEastAsia" w:hint="eastAsia"/>
          <w:b/>
          <w:sz w:val="24"/>
        </w:rPr>
        <w:t>拥有的</w:t>
      </w:r>
      <w:r>
        <w:rPr>
          <w:rFonts w:asciiTheme="minorEastAsia" w:eastAsiaTheme="minorEastAsia" w:hAnsiTheme="minorEastAsia" w:hint="eastAsia"/>
          <w:b/>
          <w:sz w:val="24"/>
        </w:rPr>
        <w:t>专业技术人员及注册</w:t>
      </w:r>
      <w:r w:rsidR="007472E8">
        <w:rPr>
          <w:rFonts w:asciiTheme="minorEastAsia" w:eastAsiaTheme="minorEastAsia" w:hAnsiTheme="minorEastAsia" w:hint="eastAsia"/>
          <w:b/>
          <w:sz w:val="24"/>
        </w:rPr>
        <w:t>执业</w:t>
      </w:r>
      <w:r>
        <w:rPr>
          <w:rFonts w:asciiTheme="minorEastAsia" w:eastAsiaTheme="minorEastAsia" w:hAnsiTheme="minorEastAsia" w:hint="eastAsia"/>
          <w:b/>
          <w:sz w:val="24"/>
        </w:rPr>
        <w:t>人员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6" w:type="pct"/>
        <w:jc w:val="center"/>
        <w:tblInd w:w="250" w:type="dxa"/>
        <w:tblLook w:val="04A0"/>
      </w:tblPr>
      <w:tblGrid>
        <w:gridCol w:w="3558"/>
        <w:gridCol w:w="1345"/>
        <w:gridCol w:w="1423"/>
        <w:gridCol w:w="1517"/>
        <w:gridCol w:w="1514"/>
        <w:gridCol w:w="2487"/>
        <w:gridCol w:w="2048"/>
      </w:tblGrid>
      <w:tr w:rsidR="00551DDA" w:rsidRPr="003E08D7" w:rsidTr="00390C4C">
        <w:trPr>
          <w:trHeight w:val="432"/>
          <w:jc w:val="center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分类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</w:t>
            </w:r>
          </w:p>
        </w:tc>
      </w:tr>
      <w:tr w:rsidR="00551DDA" w:rsidRPr="003E08D7" w:rsidTr="00390C4C">
        <w:trPr>
          <w:trHeight w:val="432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拥有专业技术职称人数（人）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24273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25352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26258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27645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4.43%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6805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7136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7263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7280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26.33%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2.27%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6591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6628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6969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8156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29.50%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7.36%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3647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3787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3885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4126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14.92%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4.20%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7230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7801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8141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8083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29.24%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3.79%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注册执业人员</w:t>
            </w:r>
            <w:r w:rsidRPr="003E08D7">
              <w:rPr>
                <w:b/>
                <w:bCs/>
                <w:color w:val="FF0000"/>
                <w:kern w:val="0"/>
                <w:szCs w:val="21"/>
              </w:rPr>
              <w:t>(</w:t>
            </w: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Cs w:val="21"/>
              </w:rPr>
              <w:t>人）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7548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8791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8968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9378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100.00%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7.50%</w:t>
            </w:r>
          </w:p>
        </w:tc>
      </w:tr>
      <w:tr w:rsidR="00551DDA" w:rsidRPr="003E08D7" w:rsidTr="00390C4C">
        <w:trPr>
          <w:trHeight w:val="384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1918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2037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2186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2367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25.24%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7.26%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中能建集团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1914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2447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2705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28.84%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12.22%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中电建集团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1596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1808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1987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21.19%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7.58%</w:t>
            </w:r>
          </w:p>
        </w:tc>
      </w:tr>
      <w:tr w:rsidR="00551DDA" w:rsidRPr="003E08D7" w:rsidTr="00390C4C">
        <w:trPr>
          <w:trHeight w:val="288"/>
          <w:jc w:val="center"/>
        </w:trPr>
        <w:tc>
          <w:tcPr>
            <w:tcW w:w="1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2120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2499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2319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24.73%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3E08D7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3E08D7">
              <w:rPr>
                <w:rFonts w:ascii="宋体" w:hAnsi="宋体" w:cs="宋体" w:hint="eastAsia"/>
                <w:kern w:val="0"/>
                <w:sz w:val="18"/>
                <w:szCs w:val="18"/>
              </w:rPr>
              <w:t>3.04%</w:t>
            </w:r>
          </w:p>
        </w:tc>
      </w:tr>
    </w:tbl>
    <w:p w:rsidR="00551DDA" w:rsidRDefault="00551DDA" w:rsidP="00390C4C">
      <w:pPr>
        <w:spacing w:line="360" w:lineRule="auto"/>
        <w:ind w:firstLineChars="544" w:firstLine="1529"/>
        <w:jc w:val="center"/>
        <w:rPr>
          <w:b/>
          <w:sz w:val="28"/>
          <w:szCs w:val="28"/>
        </w:rPr>
      </w:pPr>
      <w:r w:rsidRPr="003E08D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59830" cy="2171700"/>
            <wp:effectExtent l="19050" t="0" r="26670" b="0"/>
            <wp:docPr id="151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551DDA" w:rsidRDefault="00551DDA" w:rsidP="00390C4C">
      <w:pPr>
        <w:spacing w:line="360" w:lineRule="auto"/>
        <w:ind w:firstLineChars="100" w:firstLine="281"/>
        <w:jc w:val="center"/>
        <w:rPr>
          <w:b/>
          <w:sz w:val="28"/>
          <w:szCs w:val="28"/>
        </w:rPr>
      </w:pPr>
      <w:r w:rsidRPr="0025634D">
        <w:rPr>
          <w:b/>
          <w:noProof/>
          <w:sz w:val="28"/>
          <w:szCs w:val="28"/>
        </w:rPr>
        <w:drawing>
          <wp:inline distT="0" distB="0" distL="0" distR="0">
            <wp:extent cx="3806190" cy="2202180"/>
            <wp:effectExtent l="19050" t="0" r="22860" b="7620"/>
            <wp:docPr id="15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Pr="0025634D">
        <w:rPr>
          <w:b/>
          <w:noProof/>
          <w:sz w:val="28"/>
          <w:szCs w:val="28"/>
        </w:rPr>
        <w:drawing>
          <wp:inline distT="0" distB="0" distL="0" distR="0">
            <wp:extent cx="3985260" cy="2209800"/>
            <wp:effectExtent l="19050" t="0" r="15240" b="0"/>
            <wp:docPr id="153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51DDA" w:rsidRPr="000E0187" w:rsidRDefault="00551DDA" w:rsidP="00551DDA">
      <w:pPr>
        <w:spacing w:line="360" w:lineRule="auto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发展至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年，</w:t>
      </w:r>
      <w:r w:rsidRPr="000E0187">
        <w:rPr>
          <w:rFonts w:hint="eastAsia"/>
          <w:sz w:val="28"/>
          <w:szCs w:val="28"/>
        </w:rPr>
        <w:t>行业拥有专业技术职称人数</w:t>
      </w:r>
      <w:r>
        <w:rPr>
          <w:rFonts w:hint="eastAsia"/>
          <w:sz w:val="28"/>
          <w:szCs w:val="28"/>
        </w:rPr>
        <w:t>27645</w:t>
      </w:r>
      <w:r>
        <w:rPr>
          <w:rFonts w:hint="eastAsia"/>
          <w:sz w:val="28"/>
          <w:szCs w:val="28"/>
        </w:rPr>
        <w:t>人</w:t>
      </w:r>
      <w:r w:rsidRPr="000E0187"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2015</w:t>
      </w:r>
      <w:r w:rsidRPr="000E0187">
        <w:rPr>
          <w:rFonts w:hint="eastAsia"/>
          <w:sz w:val="28"/>
          <w:szCs w:val="28"/>
        </w:rPr>
        <w:t>年较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增加了</w:t>
      </w:r>
      <w:r>
        <w:rPr>
          <w:rFonts w:hint="eastAsia"/>
          <w:sz w:val="28"/>
          <w:szCs w:val="28"/>
        </w:rPr>
        <w:t>3372</w:t>
      </w:r>
      <w:r w:rsidRPr="000E0187">
        <w:rPr>
          <w:rFonts w:hint="eastAsia"/>
          <w:sz w:val="28"/>
          <w:szCs w:val="28"/>
        </w:rPr>
        <w:t>人，</w:t>
      </w:r>
      <w:r>
        <w:rPr>
          <w:rFonts w:hint="eastAsia"/>
          <w:sz w:val="28"/>
          <w:szCs w:val="28"/>
        </w:rPr>
        <w:t>增长了</w:t>
      </w:r>
      <w:r w:rsidRPr="00AF3F1C">
        <w:rPr>
          <w:rFonts w:hint="eastAsia"/>
          <w:sz w:val="28"/>
          <w:szCs w:val="28"/>
        </w:rPr>
        <w:t>13.89%</w:t>
      </w:r>
      <w:r w:rsidRPr="00AF3F1C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</w:t>
      </w:r>
      <w:r>
        <w:rPr>
          <w:rFonts w:hint="eastAsia"/>
          <w:sz w:val="28"/>
          <w:szCs w:val="28"/>
        </w:rPr>
        <w:t>增长速度为</w:t>
      </w:r>
      <w:r>
        <w:rPr>
          <w:rFonts w:hint="eastAsia"/>
          <w:sz w:val="28"/>
          <w:szCs w:val="28"/>
        </w:rPr>
        <w:t>4.43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。按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2012年以来行业各企业集</w:t>
      </w:r>
      <w:r w:rsidRPr="00487FB9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团</w:t>
      </w:r>
      <w:r w:rsidRPr="00487FB9">
        <w:rPr>
          <w:rFonts w:hint="eastAsia"/>
          <w:sz w:val="28"/>
          <w:szCs w:val="28"/>
        </w:rPr>
        <w:t>拥有</w:t>
      </w:r>
      <w:r>
        <w:rPr>
          <w:rFonts w:hint="eastAsia"/>
          <w:sz w:val="28"/>
          <w:szCs w:val="28"/>
        </w:rPr>
        <w:t>专业技术职称人的</w:t>
      </w:r>
      <w:r w:rsidRPr="000E0187">
        <w:rPr>
          <w:rFonts w:hint="eastAsia"/>
          <w:sz w:val="28"/>
          <w:szCs w:val="28"/>
        </w:rPr>
        <w:t>平均</w:t>
      </w:r>
      <w:r>
        <w:rPr>
          <w:rFonts w:hint="eastAsia"/>
          <w:sz w:val="28"/>
          <w:szCs w:val="28"/>
        </w:rPr>
        <w:t>增长速度，由高至低分别为：中国能建集团平均增长速度为</w:t>
      </w:r>
      <w:r>
        <w:rPr>
          <w:rFonts w:hint="eastAsia"/>
          <w:sz w:val="28"/>
          <w:szCs w:val="28"/>
        </w:rPr>
        <w:t>7.36%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1565</w:t>
      </w:r>
      <w:r>
        <w:rPr>
          <w:rFonts w:hint="eastAsia"/>
          <w:sz w:val="28"/>
          <w:szCs w:val="28"/>
        </w:rPr>
        <w:t>人，增长了</w:t>
      </w:r>
      <w:r>
        <w:rPr>
          <w:rFonts w:hint="eastAsia"/>
          <w:sz w:val="28"/>
          <w:szCs w:val="28"/>
        </w:rPr>
        <w:t>23.74%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年人数占行业总</w:t>
      </w:r>
      <w:r>
        <w:rPr>
          <w:rFonts w:hint="eastAsia"/>
          <w:sz w:val="28"/>
          <w:szCs w:val="28"/>
        </w:rPr>
        <w:lastRenderedPageBreak/>
        <w:t>人数的</w:t>
      </w:r>
      <w:r>
        <w:rPr>
          <w:rFonts w:hint="eastAsia"/>
          <w:sz w:val="28"/>
          <w:szCs w:val="28"/>
        </w:rPr>
        <w:t>29.5%</w:t>
      </w:r>
      <w:r>
        <w:rPr>
          <w:rFonts w:hint="eastAsia"/>
          <w:sz w:val="28"/>
          <w:szCs w:val="28"/>
        </w:rPr>
        <w:t>，占比最高；中国电建集团平均增长速度为</w:t>
      </w:r>
      <w:r>
        <w:rPr>
          <w:rFonts w:hint="eastAsia"/>
          <w:sz w:val="28"/>
          <w:szCs w:val="28"/>
        </w:rPr>
        <w:t>4.2%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479</w:t>
      </w:r>
      <w:r>
        <w:rPr>
          <w:rFonts w:hint="eastAsia"/>
          <w:sz w:val="28"/>
          <w:szCs w:val="28"/>
        </w:rPr>
        <w:t>人，增长了</w:t>
      </w:r>
      <w:r>
        <w:rPr>
          <w:rFonts w:hint="eastAsia"/>
          <w:sz w:val="28"/>
          <w:szCs w:val="28"/>
        </w:rPr>
        <w:t>13.13%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年人数占行业总人数的</w:t>
      </w:r>
      <w:r>
        <w:rPr>
          <w:rFonts w:hint="eastAsia"/>
          <w:sz w:val="28"/>
          <w:szCs w:val="28"/>
        </w:rPr>
        <w:t>14.92%</w:t>
      </w:r>
      <w:r>
        <w:rPr>
          <w:rFonts w:hint="eastAsia"/>
          <w:sz w:val="28"/>
          <w:szCs w:val="28"/>
        </w:rPr>
        <w:t>，占比最低；其他企业平均增长速度为</w:t>
      </w:r>
      <w:r>
        <w:rPr>
          <w:rFonts w:hint="eastAsia"/>
          <w:sz w:val="28"/>
          <w:szCs w:val="28"/>
        </w:rPr>
        <w:t>3.79%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853</w:t>
      </w:r>
      <w:r>
        <w:rPr>
          <w:rFonts w:hint="eastAsia"/>
          <w:sz w:val="28"/>
          <w:szCs w:val="28"/>
        </w:rPr>
        <w:t>人，增长了</w:t>
      </w:r>
      <w:r>
        <w:rPr>
          <w:rFonts w:hint="eastAsia"/>
          <w:sz w:val="28"/>
          <w:szCs w:val="28"/>
        </w:rPr>
        <w:t>11.80%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年人数占行业总人数的</w:t>
      </w:r>
      <w:r>
        <w:rPr>
          <w:rFonts w:hint="eastAsia"/>
          <w:sz w:val="28"/>
          <w:szCs w:val="28"/>
        </w:rPr>
        <w:t>29.24%</w:t>
      </w:r>
      <w:r>
        <w:rPr>
          <w:rFonts w:hint="eastAsia"/>
          <w:sz w:val="28"/>
          <w:szCs w:val="28"/>
        </w:rPr>
        <w:t>，占比位居第二位；中电工程平均增长速度为</w:t>
      </w:r>
      <w:r>
        <w:rPr>
          <w:rFonts w:hint="eastAsia"/>
          <w:sz w:val="28"/>
          <w:szCs w:val="28"/>
        </w:rPr>
        <w:t>2.27%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475</w:t>
      </w:r>
      <w:r>
        <w:rPr>
          <w:rFonts w:hint="eastAsia"/>
          <w:sz w:val="28"/>
          <w:szCs w:val="28"/>
        </w:rPr>
        <w:t>人，增长了</w:t>
      </w:r>
      <w:r>
        <w:rPr>
          <w:rFonts w:hint="eastAsia"/>
          <w:sz w:val="28"/>
          <w:szCs w:val="28"/>
        </w:rPr>
        <w:t>6.98%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年人数占行业总人数的</w:t>
      </w:r>
      <w:r>
        <w:rPr>
          <w:rFonts w:hint="eastAsia"/>
          <w:sz w:val="28"/>
          <w:szCs w:val="28"/>
        </w:rPr>
        <w:t>26.33%</w:t>
      </w:r>
      <w:r>
        <w:rPr>
          <w:rFonts w:hint="eastAsia"/>
          <w:sz w:val="28"/>
          <w:szCs w:val="28"/>
        </w:rPr>
        <w:t>，占比位居第三位。</w:t>
      </w:r>
    </w:p>
    <w:p w:rsidR="00551DDA" w:rsidRPr="000E0187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年，</w:t>
      </w:r>
      <w:r w:rsidRPr="000E0187">
        <w:rPr>
          <w:rFonts w:hint="eastAsia"/>
          <w:sz w:val="28"/>
          <w:szCs w:val="28"/>
        </w:rPr>
        <w:t>行业拥有注册执业人</w:t>
      </w:r>
      <w:r>
        <w:rPr>
          <w:rFonts w:hint="eastAsia"/>
          <w:sz w:val="28"/>
          <w:szCs w:val="28"/>
        </w:rPr>
        <w:t>数为</w:t>
      </w:r>
      <w:r>
        <w:rPr>
          <w:rFonts w:hint="eastAsia"/>
          <w:sz w:val="28"/>
          <w:szCs w:val="28"/>
        </w:rPr>
        <w:t>9378</w:t>
      </w:r>
      <w:r>
        <w:rPr>
          <w:rFonts w:hint="eastAsia"/>
          <w:sz w:val="28"/>
          <w:szCs w:val="28"/>
        </w:rPr>
        <w:t>人</w:t>
      </w:r>
      <w:r w:rsidRPr="000E0187"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 xml:space="preserve"> 2015</w:t>
      </w:r>
      <w:r w:rsidRPr="000E0187">
        <w:rPr>
          <w:rFonts w:hint="eastAsia"/>
          <w:sz w:val="28"/>
          <w:szCs w:val="28"/>
        </w:rPr>
        <w:t>年较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年增长</w:t>
      </w:r>
      <w:r w:rsidRPr="000E0187">
        <w:rPr>
          <w:rFonts w:hint="eastAsia"/>
          <w:sz w:val="28"/>
          <w:szCs w:val="28"/>
        </w:rPr>
        <w:t>1830</w:t>
      </w:r>
      <w:r w:rsidRPr="000E0187">
        <w:rPr>
          <w:rFonts w:hint="eastAsia"/>
          <w:sz w:val="28"/>
          <w:szCs w:val="28"/>
        </w:rPr>
        <w:t>人，</w:t>
      </w:r>
      <w:r>
        <w:rPr>
          <w:rFonts w:hint="eastAsia"/>
          <w:sz w:val="28"/>
          <w:szCs w:val="28"/>
        </w:rPr>
        <w:t>增长了</w:t>
      </w:r>
      <w:r>
        <w:rPr>
          <w:rFonts w:hint="eastAsia"/>
          <w:sz w:val="28"/>
          <w:szCs w:val="28"/>
        </w:rPr>
        <w:t>24.24%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平均增长速度为</w:t>
      </w:r>
      <w:r w:rsidRPr="000E0187"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5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。按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2012年以来行业各企业集</w:t>
      </w:r>
      <w:r w:rsidRPr="00487FB9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团</w:t>
      </w:r>
      <w:r w:rsidRPr="00487FB9">
        <w:rPr>
          <w:rFonts w:hint="eastAsia"/>
          <w:sz w:val="28"/>
          <w:szCs w:val="28"/>
        </w:rPr>
        <w:t>拥有</w:t>
      </w:r>
      <w:r w:rsidRPr="000E0187">
        <w:rPr>
          <w:rFonts w:hint="eastAsia"/>
          <w:sz w:val="28"/>
          <w:szCs w:val="28"/>
        </w:rPr>
        <w:t>注册执业人</w:t>
      </w:r>
      <w:r>
        <w:rPr>
          <w:rFonts w:hint="eastAsia"/>
          <w:sz w:val="28"/>
          <w:szCs w:val="28"/>
        </w:rPr>
        <w:t>数的</w:t>
      </w:r>
      <w:r w:rsidRPr="000E0187">
        <w:rPr>
          <w:rFonts w:hint="eastAsia"/>
          <w:sz w:val="28"/>
          <w:szCs w:val="28"/>
        </w:rPr>
        <w:t>平均</w:t>
      </w:r>
      <w:r>
        <w:rPr>
          <w:rFonts w:hint="eastAsia"/>
          <w:sz w:val="28"/>
          <w:szCs w:val="28"/>
        </w:rPr>
        <w:t>增长速度，由高至低分别为：</w:t>
      </w:r>
      <w:r w:rsidRPr="000E0187">
        <w:rPr>
          <w:rFonts w:hint="eastAsia"/>
          <w:sz w:val="28"/>
          <w:szCs w:val="28"/>
        </w:rPr>
        <w:t>中国能建集团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平均增长速度为</w:t>
      </w:r>
      <w:r w:rsidRPr="000E0187">
        <w:rPr>
          <w:rFonts w:hint="eastAsia"/>
          <w:sz w:val="28"/>
          <w:szCs w:val="28"/>
        </w:rPr>
        <w:t>12.22%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发展至</w:t>
      </w:r>
      <w:r w:rsidRPr="000E0187">
        <w:rPr>
          <w:rFonts w:hint="eastAsia"/>
          <w:sz w:val="28"/>
          <w:szCs w:val="28"/>
        </w:rPr>
        <w:t>2015</w:t>
      </w:r>
      <w:r w:rsidRPr="000E0187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注册执业人员</w:t>
      </w:r>
      <w:r>
        <w:rPr>
          <w:rFonts w:hint="eastAsia"/>
          <w:sz w:val="28"/>
          <w:szCs w:val="28"/>
        </w:rPr>
        <w:t>达到</w:t>
      </w:r>
      <w:r w:rsidRPr="000E0187">
        <w:rPr>
          <w:rFonts w:hint="eastAsia"/>
          <w:sz w:val="28"/>
          <w:szCs w:val="28"/>
        </w:rPr>
        <w:t>2705</w:t>
      </w:r>
      <w:r w:rsidRPr="000E0187">
        <w:rPr>
          <w:rFonts w:hint="eastAsia"/>
          <w:sz w:val="28"/>
          <w:szCs w:val="28"/>
        </w:rPr>
        <w:t>人，较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年增长</w:t>
      </w:r>
      <w:r w:rsidRPr="000E0187">
        <w:rPr>
          <w:rFonts w:hint="eastAsia"/>
          <w:sz w:val="28"/>
          <w:szCs w:val="28"/>
        </w:rPr>
        <w:t>791</w:t>
      </w:r>
      <w:r w:rsidRPr="000E0187">
        <w:rPr>
          <w:rFonts w:hint="eastAsia"/>
          <w:sz w:val="28"/>
          <w:szCs w:val="28"/>
        </w:rPr>
        <w:t>人，</w:t>
      </w:r>
      <w:r>
        <w:rPr>
          <w:rFonts w:hint="eastAsia"/>
          <w:sz w:val="28"/>
          <w:szCs w:val="28"/>
        </w:rPr>
        <w:t>增长了</w:t>
      </w:r>
      <w:r>
        <w:rPr>
          <w:rFonts w:hint="eastAsia"/>
          <w:sz w:val="28"/>
          <w:szCs w:val="28"/>
        </w:rPr>
        <w:t>41.33%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占整个行业的</w:t>
      </w:r>
      <w:r>
        <w:rPr>
          <w:rFonts w:hint="eastAsia"/>
          <w:sz w:val="28"/>
          <w:szCs w:val="28"/>
        </w:rPr>
        <w:t>28.84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占比位居第一位</w:t>
      </w:r>
      <w:r w:rsidRPr="000E0187">
        <w:rPr>
          <w:rFonts w:hint="eastAsia"/>
          <w:sz w:val="28"/>
          <w:szCs w:val="28"/>
        </w:rPr>
        <w:t>；中国电建集团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平均增长速度为</w:t>
      </w:r>
      <w:r>
        <w:rPr>
          <w:rFonts w:hint="eastAsia"/>
          <w:sz w:val="28"/>
          <w:szCs w:val="28"/>
        </w:rPr>
        <w:t>7.58</w:t>
      </w:r>
      <w:r w:rsidRPr="000E0187">
        <w:rPr>
          <w:rFonts w:hint="eastAsia"/>
          <w:sz w:val="28"/>
          <w:szCs w:val="28"/>
        </w:rPr>
        <w:t>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发展至</w:t>
      </w:r>
      <w:r w:rsidRPr="000E0187">
        <w:rPr>
          <w:rFonts w:hint="eastAsia"/>
          <w:sz w:val="28"/>
          <w:szCs w:val="28"/>
        </w:rPr>
        <w:t>2015</w:t>
      </w:r>
      <w:r w:rsidRPr="000E0187">
        <w:rPr>
          <w:rFonts w:hint="eastAsia"/>
          <w:sz w:val="28"/>
          <w:szCs w:val="28"/>
        </w:rPr>
        <w:t>年，注册执业人员</w:t>
      </w:r>
      <w:r>
        <w:rPr>
          <w:rFonts w:hint="eastAsia"/>
          <w:sz w:val="28"/>
          <w:szCs w:val="28"/>
        </w:rPr>
        <w:t>达到</w:t>
      </w:r>
      <w:r w:rsidRPr="000E0187">
        <w:rPr>
          <w:rFonts w:hint="eastAsia"/>
          <w:sz w:val="28"/>
          <w:szCs w:val="28"/>
        </w:rPr>
        <w:t>1987</w:t>
      </w:r>
      <w:r w:rsidRPr="000E0187">
        <w:rPr>
          <w:rFonts w:hint="eastAsia"/>
          <w:sz w:val="28"/>
          <w:szCs w:val="28"/>
        </w:rPr>
        <w:t>人，较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年增加</w:t>
      </w:r>
      <w:r w:rsidRPr="000E0187">
        <w:rPr>
          <w:rFonts w:hint="eastAsia"/>
          <w:sz w:val="28"/>
          <w:szCs w:val="28"/>
        </w:rPr>
        <w:t>391</w:t>
      </w:r>
      <w:r w:rsidRPr="000E0187"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>，增长了</w:t>
      </w:r>
      <w:r>
        <w:rPr>
          <w:rFonts w:hint="eastAsia"/>
          <w:sz w:val="28"/>
          <w:szCs w:val="28"/>
        </w:rPr>
        <w:t>24.50%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占整个行业的</w:t>
      </w:r>
      <w:r w:rsidRPr="000E0187"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.19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占比最低</w:t>
      </w:r>
      <w:r w:rsidRPr="000E0187">
        <w:rPr>
          <w:rFonts w:hint="eastAsia"/>
          <w:sz w:val="28"/>
          <w:szCs w:val="28"/>
        </w:rPr>
        <w:t>；中电工程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平均增长速度为</w:t>
      </w:r>
      <w:r w:rsidRPr="000E0187">
        <w:rPr>
          <w:rFonts w:hint="eastAsia"/>
          <w:sz w:val="28"/>
          <w:szCs w:val="28"/>
        </w:rPr>
        <w:t>7.26%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发展至</w:t>
      </w:r>
      <w:r w:rsidRPr="000E0187">
        <w:rPr>
          <w:rFonts w:hint="eastAsia"/>
          <w:sz w:val="28"/>
          <w:szCs w:val="28"/>
        </w:rPr>
        <w:t>2015</w:t>
      </w:r>
      <w:r w:rsidRPr="000E0187">
        <w:rPr>
          <w:rFonts w:hint="eastAsia"/>
          <w:sz w:val="28"/>
          <w:szCs w:val="28"/>
        </w:rPr>
        <w:t>年，注册执业人员</w:t>
      </w:r>
      <w:r>
        <w:rPr>
          <w:rFonts w:hint="eastAsia"/>
          <w:sz w:val="28"/>
          <w:szCs w:val="28"/>
        </w:rPr>
        <w:t>达到</w:t>
      </w:r>
      <w:r w:rsidRPr="000E0187">
        <w:rPr>
          <w:rFonts w:hint="eastAsia"/>
          <w:sz w:val="28"/>
          <w:szCs w:val="28"/>
        </w:rPr>
        <w:t>2367</w:t>
      </w:r>
      <w:r w:rsidRPr="000E0187">
        <w:rPr>
          <w:rFonts w:hint="eastAsia"/>
          <w:sz w:val="28"/>
          <w:szCs w:val="28"/>
        </w:rPr>
        <w:t>人，较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年增长</w:t>
      </w:r>
      <w:r w:rsidRPr="000E0187">
        <w:rPr>
          <w:rFonts w:hint="eastAsia"/>
          <w:sz w:val="28"/>
          <w:szCs w:val="28"/>
        </w:rPr>
        <w:t>449</w:t>
      </w:r>
      <w:r w:rsidRPr="000E0187">
        <w:rPr>
          <w:rFonts w:hint="eastAsia"/>
          <w:sz w:val="28"/>
          <w:szCs w:val="28"/>
        </w:rPr>
        <w:t>人，</w:t>
      </w:r>
      <w:r>
        <w:rPr>
          <w:rFonts w:hint="eastAsia"/>
          <w:sz w:val="28"/>
          <w:szCs w:val="28"/>
        </w:rPr>
        <w:t>增长了</w:t>
      </w:r>
      <w:r>
        <w:rPr>
          <w:rFonts w:hint="eastAsia"/>
          <w:sz w:val="28"/>
          <w:szCs w:val="28"/>
        </w:rPr>
        <w:t>23.41%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占整个行业的</w:t>
      </w:r>
      <w:r w:rsidRPr="000E0187"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.24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占比位居第二位</w:t>
      </w:r>
      <w:r w:rsidRPr="000E0187">
        <w:rPr>
          <w:rFonts w:hint="eastAsia"/>
          <w:sz w:val="28"/>
          <w:szCs w:val="28"/>
        </w:rPr>
        <w:t>；其他企业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</w:t>
      </w:r>
      <w:r w:rsidRPr="000E0187">
        <w:rPr>
          <w:rFonts w:hint="eastAsia"/>
          <w:sz w:val="28"/>
          <w:szCs w:val="28"/>
        </w:rPr>
        <w:t>平均增长速度为</w:t>
      </w:r>
      <w:r w:rsidRPr="000E0187">
        <w:rPr>
          <w:rFonts w:hint="eastAsia"/>
          <w:sz w:val="28"/>
          <w:szCs w:val="28"/>
        </w:rPr>
        <w:t>3.04%</w:t>
      </w:r>
      <w:r>
        <w:rPr>
          <w:rFonts w:hint="eastAsia"/>
          <w:sz w:val="28"/>
          <w:szCs w:val="28"/>
        </w:rPr>
        <w:t>，发</w:t>
      </w:r>
      <w:r w:rsidRPr="000E0187">
        <w:rPr>
          <w:rFonts w:hint="eastAsia"/>
          <w:sz w:val="28"/>
          <w:szCs w:val="28"/>
        </w:rPr>
        <w:t>展至</w:t>
      </w:r>
      <w:r w:rsidRPr="000E0187">
        <w:rPr>
          <w:rFonts w:hint="eastAsia"/>
          <w:sz w:val="28"/>
          <w:szCs w:val="28"/>
        </w:rPr>
        <w:t>2015</w:t>
      </w:r>
      <w:r w:rsidRPr="000E0187">
        <w:rPr>
          <w:rFonts w:hint="eastAsia"/>
          <w:sz w:val="28"/>
          <w:szCs w:val="28"/>
        </w:rPr>
        <w:t>年，注册执业人员</w:t>
      </w:r>
      <w:r>
        <w:rPr>
          <w:rFonts w:hint="eastAsia"/>
          <w:sz w:val="28"/>
          <w:szCs w:val="28"/>
        </w:rPr>
        <w:t>达到</w:t>
      </w:r>
      <w:r w:rsidRPr="000E0187">
        <w:rPr>
          <w:rFonts w:hint="eastAsia"/>
          <w:sz w:val="28"/>
          <w:szCs w:val="28"/>
        </w:rPr>
        <w:t>2319</w:t>
      </w:r>
      <w:r w:rsidRPr="000E0187">
        <w:rPr>
          <w:rFonts w:hint="eastAsia"/>
          <w:sz w:val="28"/>
          <w:szCs w:val="28"/>
        </w:rPr>
        <w:t>人，较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年增加</w:t>
      </w:r>
      <w:r w:rsidRPr="000E0187">
        <w:rPr>
          <w:rFonts w:hint="eastAsia"/>
          <w:sz w:val="28"/>
          <w:szCs w:val="28"/>
        </w:rPr>
        <w:t>199</w:t>
      </w:r>
      <w:r w:rsidRPr="000E0187">
        <w:rPr>
          <w:rFonts w:hint="eastAsia"/>
          <w:sz w:val="28"/>
          <w:szCs w:val="28"/>
        </w:rPr>
        <w:t>人，</w:t>
      </w:r>
      <w:r>
        <w:rPr>
          <w:rFonts w:hint="eastAsia"/>
          <w:sz w:val="28"/>
          <w:szCs w:val="28"/>
        </w:rPr>
        <w:t>增长了</w:t>
      </w:r>
      <w:r>
        <w:rPr>
          <w:rFonts w:hint="eastAsia"/>
          <w:sz w:val="28"/>
          <w:szCs w:val="28"/>
        </w:rPr>
        <w:t>9.39%</w:t>
      </w:r>
      <w:r>
        <w:rPr>
          <w:rFonts w:hint="eastAsia"/>
          <w:sz w:val="28"/>
          <w:szCs w:val="28"/>
        </w:rPr>
        <w:t>，</w:t>
      </w:r>
      <w:r w:rsidRPr="000E0187">
        <w:rPr>
          <w:rFonts w:hint="eastAsia"/>
          <w:sz w:val="28"/>
          <w:szCs w:val="28"/>
        </w:rPr>
        <w:t>占整个行业的</w:t>
      </w:r>
      <w:r>
        <w:rPr>
          <w:rFonts w:hint="eastAsia"/>
          <w:sz w:val="28"/>
          <w:szCs w:val="28"/>
        </w:rPr>
        <w:t>24.73</w:t>
      </w:r>
      <w:r w:rsidRPr="000E0187">
        <w:rPr>
          <w:rFonts w:hint="eastAsia"/>
          <w:sz w:val="28"/>
          <w:szCs w:val="28"/>
        </w:rPr>
        <w:t>%</w:t>
      </w:r>
      <w:r w:rsidRPr="000E0187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占比位居第三</w:t>
      </w:r>
      <w:r w:rsidRPr="000E0187">
        <w:rPr>
          <w:rFonts w:hint="eastAsia"/>
          <w:sz w:val="28"/>
          <w:szCs w:val="28"/>
        </w:rPr>
        <w:t>。</w:t>
      </w:r>
    </w:p>
    <w:p w:rsidR="00551DDA" w:rsidRPr="000E0187" w:rsidRDefault="00551DDA" w:rsidP="00551DDA">
      <w:pPr>
        <w:spacing w:line="360" w:lineRule="auto"/>
        <w:rPr>
          <w:sz w:val="28"/>
          <w:szCs w:val="28"/>
        </w:rPr>
      </w:pPr>
      <w:r w:rsidRPr="000E0187">
        <w:rPr>
          <w:rFonts w:hint="eastAsia"/>
          <w:sz w:val="28"/>
          <w:szCs w:val="28"/>
        </w:rPr>
        <w:t>总体来看，</w:t>
      </w:r>
      <w:r w:rsidRPr="000E0187">
        <w:rPr>
          <w:rFonts w:hint="eastAsia"/>
          <w:sz w:val="28"/>
          <w:szCs w:val="28"/>
        </w:rPr>
        <w:t>2012</w:t>
      </w:r>
      <w:r w:rsidRPr="000E0187">
        <w:rPr>
          <w:rFonts w:hint="eastAsia"/>
          <w:sz w:val="28"/>
          <w:szCs w:val="28"/>
        </w:rPr>
        <w:t>年以来，行业各企业集团所拥有的专业技术职称人数</w:t>
      </w:r>
      <w:r>
        <w:rPr>
          <w:rFonts w:hint="eastAsia"/>
          <w:sz w:val="28"/>
          <w:szCs w:val="28"/>
        </w:rPr>
        <w:t>及注册执业人员人数均呈现不同程度的上升趋势，显示</w:t>
      </w:r>
      <w:r w:rsidRPr="000E0187">
        <w:rPr>
          <w:rFonts w:hint="eastAsia"/>
          <w:sz w:val="28"/>
          <w:szCs w:val="28"/>
        </w:rPr>
        <w:t>行业各企业集团的</w:t>
      </w:r>
      <w:r>
        <w:rPr>
          <w:rFonts w:hint="eastAsia"/>
          <w:sz w:val="28"/>
          <w:szCs w:val="28"/>
        </w:rPr>
        <w:t>个人技术能力及</w:t>
      </w:r>
      <w:r w:rsidRPr="000E0187">
        <w:rPr>
          <w:rFonts w:hint="eastAsia"/>
          <w:sz w:val="28"/>
          <w:szCs w:val="28"/>
        </w:rPr>
        <w:t>资质水平不断提</w:t>
      </w:r>
      <w:r>
        <w:rPr>
          <w:rFonts w:hint="eastAsia"/>
          <w:sz w:val="28"/>
          <w:szCs w:val="28"/>
        </w:rPr>
        <w:t>升</w:t>
      </w:r>
      <w:r w:rsidRPr="000E0187">
        <w:rPr>
          <w:rFonts w:hint="eastAsia"/>
          <w:sz w:val="28"/>
          <w:szCs w:val="28"/>
        </w:rPr>
        <w:t>。</w:t>
      </w:r>
    </w:p>
    <w:p w:rsidR="00551DDA" w:rsidRDefault="00551DDA" w:rsidP="00551DDA">
      <w:pPr>
        <w:spacing w:line="360" w:lineRule="auto"/>
        <w:ind w:firstLineChars="100" w:firstLine="281"/>
        <w:rPr>
          <w:b/>
          <w:sz w:val="28"/>
          <w:szCs w:val="28"/>
        </w:rPr>
      </w:pPr>
    </w:p>
    <w:p w:rsidR="00551DDA" w:rsidRPr="00AF3F1C" w:rsidRDefault="00551DDA" w:rsidP="00AF3F1C">
      <w:pPr>
        <w:pStyle w:val="2"/>
        <w:ind w:firstLineChars="198" w:firstLine="596"/>
        <w:rPr>
          <w:rFonts w:asciiTheme="majorEastAsia" w:eastAsiaTheme="majorEastAsia" w:hAnsiTheme="majorEastAsia"/>
          <w:sz w:val="30"/>
          <w:szCs w:val="30"/>
        </w:rPr>
      </w:pPr>
      <w:bookmarkStart w:id="18" w:name="_Toc450668449"/>
      <w:r w:rsidRPr="00AF3F1C">
        <w:rPr>
          <w:rFonts w:asciiTheme="majorEastAsia" w:eastAsiaTheme="majorEastAsia" w:hAnsiTheme="majorEastAsia" w:hint="eastAsia"/>
          <w:sz w:val="30"/>
          <w:szCs w:val="30"/>
        </w:rPr>
        <w:lastRenderedPageBreak/>
        <w:t>五</w:t>
      </w:r>
      <w:r w:rsidR="00AF3F1C" w:rsidRPr="00AF3F1C">
        <w:rPr>
          <w:rFonts w:asciiTheme="majorEastAsia" w:eastAsiaTheme="majorEastAsia" w:hAnsiTheme="majorEastAsia" w:hint="eastAsia"/>
          <w:sz w:val="30"/>
          <w:szCs w:val="30"/>
        </w:rPr>
        <w:t>、</w:t>
      </w:r>
      <w:r w:rsidRPr="00AF3F1C">
        <w:rPr>
          <w:rFonts w:asciiTheme="majorEastAsia" w:eastAsiaTheme="majorEastAsia" w:hAnsiTheme="majorEastAsia" w:hint="eastAsia"/>
          <w:sz w:val="30"/>
          <w:szCs w:val="30"/>
        </w:rPr>
        <w:t>技术水平指标分析</w:t>
      </w:r>
      <w:bookmarkEnd w:id="18"/>
    </w:p>
    <w:p w:rsidR="00551DDA" w:rsidRPr="002E360D" w:rsidRDefault="00551DDA" w:rsidP="002E360D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19" w:name="_Toc450668450"/>
      <w:r w:rsidRPr="002E360D">
        <w:rPr>
          <w:rFonts w:asciiTheme="majorEastAsia" w:eastAsiaTheme="majorEastAsia" w:hAnsiTheme="majorEastAsia" w:hint="eastAsia"/>
          <w:sz w:val="28"/>
          <w:szCs w:val="28"/>
        </w:rPr>
        <w:t>1</w:t>
      </w:r>
      <w:r w:rsidR="00AF3F1C" w:rsidRPr="002E360D">
        <w:rPr>
          <w:rFonts w:asciiTheme="majorEastAsia" w:eastAsiaTheme="majorEastAsia" w:hAnsiTheme="majorEastAsia" w:hint="eastAsia"/>
          <w:sz w:val="28"/>
          <w:szCs w:val="28"/>
        </w:rPr>
        <w:t>、</w:t>
      </w:r>
      <w:r w:rsidRPr="002E360D">
        <w:rPr>
          <w:rFonts w:asciiTheme="majorEastAsia" w:eastAsiaTheme="majorEastAsia" w:hAnsiTheme="majorEastAsia" w:hint="eastAsia"/>
          <w:sz w:val="28"/>
          <w:szCs w:val="28"/>
        </w:rPr>
        <w:t>拥有专利技术及专有技术数量</w:t>
      </w:r>
      <w:bookmarkEnd w:id="19"/>
    </w:p>
    <w:p w:rsidR="00AF3F1C" w:rsidRPr="00AF3F1C" w:rsidRDefault="00AF3F1C" w:rsidP="00AF3F1C">
      <w:pPr>
        <w:jc w:val="center"/>
        <w:rPr>
          <w:sz w:val="28"/>
          <w:szCs w:val="28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拥有专利及专有技术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96" w:type="pct"/>
        <w:jc w:val="center"/>
        <w:tblInd w:w="108" w:type="dxa"/>
        <w:tblLook w:val="04A0"/>
      </w:tblPr>
      <w:tblGrid>
        <w:gridCol w:w="1676"/>
        <w:gridCol w:w="1549"/>
        <w:gridCol w:w="1603"/>
        <w:gridCol w:w="1603"/>
        <w:gridCol w:w="1603"/>
        <w:gridCol w:w="1496"/>
        <w:gridCol w:w="2279"/>
        <w:gridCol w:w="2226"/>
      </w:tblGrid>
      <w:tr w:rsidR="00551DDA" w:rsidRPr="00DA1FD5" w:rsidTr="00390C4C">
        <w:trPr>
          <w:trHeight w:val="504"/>
          <w:jc w:val="center"/>
        </w:trPr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  类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专利技术总量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1380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1909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3084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4274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20"/>
                <w:szCs w:val="20"/>
              </w:rPr>
              <w:t>100%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45.76%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1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专有技术总量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20"/>
                <w:szCs w:val="20"/>
              </w:rPr>
              <w:t>257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20"/>
                <w:szCs w:val="20"/>
              </w:rPr>
              <w:t>338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20"/>
                <w:szCs w:val="20"/>
              </w:rPr>
              <w:t>317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20"/>
                <w:szCs w:val="20"/>
              </w:rPr>
              <w:t>460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20"/>
                <w:szCs w:val="20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20"/>
                <w:szCs w:val="20"/>
              </w:rPr>
              <w:t>100%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21.42%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专利技术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806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1473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1919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44.90%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53.65%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专有技术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23.26%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7.97%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专利技术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241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382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562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981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22.95%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59.67%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专有技术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27.61%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33.82%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专利技术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439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10.27%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13.28%</w:t>
            </w:r>
          </w:p>
        </w:tc>
      </w:tr>
      <w:tr w:rsidR="00551DDA" w:rsidRPr="00DA1FD5" w:rsidTr="00390C4C">
        <w:trPr>
          <w:trHeight w:val="324"/>
          <w:jc w:val="center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专有技术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23.04%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15.95%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专利技术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643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935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21.88%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44.80%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专有技术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26.09%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33.01%</w:t>
            </w:r>
          </w:p>
        </w:tc>
      </w:tr>
    </w:tbl>
    <w:p w:rsidR="00551DDA" w:rsidRDefault="00551DDA" w:rsidP="00390C4C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004771">
        <w:rPr>
          <w:noProof/>
          <w:sz w:val="28"/>
          <w:szCs w:val="28"/>
        </w:rPr>
        <w:lastRenderedPageBreak/>
        <w:drawing>
          <wp:inline distT="0" distB="0" distL="0" distR="0">
            <wp:extent cx="7707630" cy="2026920"/>
            <wp:effectExtent l="19050" t="0" r="26670" b="0"/>
            <wp:docPr id="15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51DDA" w:rsidRDefault="00551DDA" w:rsidP="00390C4C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0856D1">
        <w:rPr>
          <w:noProof/>
          <w:sz w:val="28"/>
          <w:szCs w:val="28"/>
        </w:rPr>
        <w:drawing>
          <wp:inline distT="0" distB="0" distL="0" distR="0">
            <wp:extent cx="3729990" cy="2392680"/>
            <wp:effectExtent l="19050" t="0" r="22860" b="7620"/>
            <wp:docPr id="15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0856D1">
        <w:rPr>
          <w:noProof/>
          <w:sz w:val="28"/>
          <w:szCs w:val="28"/>
        </w:rPr>
        <w:drawing>
          <wp:inline distT="0" distB="0" distL="0" distR="0">
            <wp:extent cx="3989070" cy="2392680"/>
            <wp:effectExtent l="19050" t="0" r="11430" b="7620"/>
            <wp:docPr id="156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行业发展至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年，</w:t>
      </w:r>
      <w:r w:rsidRPr="00553C5B">
        <w:rPr>
          <w:rFonts w:hint="eastAsia"/>
          <w:b/>
          <w:sz w:val="28"/>
          <w:szCs w:val="28"/>
        </w:rPr>
        <w:t>行业拥有专利技术</w:t>
      </w:r>
      <w:r w:rsidRPr="00553C5B">
        <w:rPr>
          <w:rFonts w:hint="eastAsia"/>
          <w:b/>
          <w:sz w:val="28"/>
          <w:szCs w:val="28"/>
        </w:rPr>
        <w:t>4274</w:t>
      </w:r>
      <w:r w:rsidRPr="00553C5B">
        <w:rPr>
          <w:rFonts w:hint="eastAsia"/>
          <w:b/>
          <w:sz w:val="28"/>
          <w:szCs w:val="28"/>
        </w:rPr>
        <w:t>项</w:t>
      </w:r>
      <w:r>
        <w:rPr>
          <w:rFonts w:hint="eastAsia"/>
          <w:sz w:val="28"/>
          <w:szCs w:val="28"/>
        </w:rPr>
        <w:t>，较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年增加了</w:t>
      </w:r>
      <w:r>
        <w:rPr>
          <w:rFonts w:hint="eastAsia"/>
          <w:sz w:val="28"/>
          <w:szCs w:val="28"/>
        </w:rPr>
        <w:t>2894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209.71%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年以来平均增长幅度为</w:t>
      </w:r>
      <w:r>
        <w:rPr>
          <w:rFonts w:hint="eastAsia"/>
          <w:sz w:val="28"/>
          <w:szCs w:val="28"/>
        </w:rPr>
        <w:t>45.76%</w:t>
      </w:r>
      <w:r>
        <w:rPr>
          <w:rFonts w:hint="eastAsia"/>
          <w:sz w:val="28"/>
          <w:szCs w:val="28"/>
        </w:rPr>
        <w:t>。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按2015年行业各企业集</w:t>
      </w:r>
      <w:r w:rsidRPr="00487FB9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团</w:t>
      </w:r>
      <w:r w:rsidRPr="00487FB9">
        <w:rPr>
          <w:rFonts w:hint="eastAsia"/>
          <w:sz w:val="28"/>
          <w:szCs w:val="28"/>
        </w:rPr>
        <w:t>拥有专利技术项数的</w:t>
      </w:r>
      <w:r w:rsidRPr="00487FB9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占比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，由高到低分别为：中电工程发展至2015年，拥有专利技术1919项，占44.90%，2015年较2012年增长了1390项，增长了262.76%，2012年以来平均增长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lastRenderedPageBreak/>
        <w:t>速度53.65%，增速位居第二位；中国能建集团发展至2015年，拥有专利技术981项，占22.95%，2015年较2012年增长了740项，增长了307.5%，2012年以来平均增长速度59.67%，增速居首位；其他企业发展至2015年，拥有专利技术935项，占21.88%，2015年较2012年增长了627项，增长了203.57%，2012年以来平均增长速度44.8%，增速位居第三；中国电建集团发展至2015年，拥有专利技术439项，占10.27%，2015年较2012年增长了137项，增长了45.36%，2012年以来平均增长速度13.28%，增速最低</w:t>
      </w:r>
      <w:r>
        <w:rPr>
          <w:rFonts w:hint="eastAsia"/>
          <w:sz w:val="28"/>
          <w:szCs w:val="28"/>
        </w:rPr>
        <w:t>。</w:t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行业发展至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年，</w:t>
      </w:r>
      <w:r w:rsidRPr="00553C5B">
        <w:rPr>
          <w:rFonts w:hint="eastAsia"/>
          <w:b/>
          <w:sz w:val="28"/>
          <w:szCs w:val="28"/>
        </w:rPr>
        <w:t>行业拥有专有技术</w:t>
      </w:r>
      <w:r w:rsidRPr="00553C5B">
        <w:rPr>
          <w:rFonts w:hint="eastAsia"/>
          <w:b/>
          <w:sz w:val="28"/>
          <w:szCs w:val="28"/>
        </w:rPr>
        <w:t>460</w:t>
      </w:r>
      <w:r w:rsidRPr="00553C5B">
        <w:rPr>
          <w:rFonts w:hint="eastAsia"/>
          <w:b/>
          <w:sz w:val="28"/>
          <w:szCs w:val="28"/>
        </w:rPr>
        <w:t>项</w:t>
      </w:r>
      <w:r>
        <w:rPr>
          <w:rFonts w:hint="eastAsia"/>
          <w:sz w:val="28"/>
          <w:szCs w:val="28"/>
        </w:rPr>
        <w:t>，较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年增加了</w:t>
      </w:r>
      <w:r>
        <w:rPr>
          <w:rFonts w:hint="eastAsia"/>
          <w:sz w:val="28"/>
          <w:szCs w:val="28"/>
        </w:rPr>
        <w:t>203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78.99%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年以来平均增长幅度为</w:t>
      </w:r>
      <w:r>
        <w:rPr>
          <w:rFonts w:hint="eastAsia"/>
          <w:sz w:val="28"/>
          <w:szCs w:val="28"/>
        </w:rPr>
        <w:t>21.42%</w:t>
      </w:r>
      <w:r>
        <w:rPr>
          <w:rFonts w:hint="eastAsia"/>
          <w:sz w:val="28"/>
          <w:szCs w:val="28"/>
        </w:rPr>
        <w:t>。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按2015年行业各企业集</w:t>
      </w:r>
      <w:r w:rsidRPr="0059426E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团</w:t>
      </w:r>
      <w:r w:rsidRPr="0059426E">
        <w:rPr>
          <w:rFonts w:hint="eastAsia"/>
          <w:sz w:val="28"/>
          <w:szCs w:val="28"/>
        </w:rPr>
        <w:t>拥有专有技术项数的</w:t>
      </w:r>
      <w:r w:rsidRPr="0059426E"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占</w:t>
      </w: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t>比，由高到低分别为：中国能建集团发展至2015年，拥有专有技术127项，占27.61%，2015年较2012年增长了74项，增长了139.62%，2012年以来平均增长速度33.82%，增速最高；其他企业发展至2015年，拥有专有技术120项，占26.09%，2015年较2012年增长了69项，增长了135.29%，2012年以来平均增长速度33.01%，增速位居第二；中电工程发展至2015年，拥有专有技术107项，占23.26%，2015年较2012年增长了22项，增长了25.88%，2012年以来平均增长速度7.97%，增速最低；中国电建集团发展至2015年，拥有专有技术106项，占23.04%，2015年较2012年增长了38项，增长了55.88%，2012年以来平均增长速度15.95%</w:t>
      </w:r>
      <w:r>
        <w:rPr>
          <w:rFonts w:hint="eastAsia"/>
          <w:sz w:val="28"/>
          <w:szCs w:val="28"/>
        </w:rPr>
        <w:t>。</w:t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总体表现为，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年以来行业各企业集团拥有专利技术及专有技术均有较大增幅，专利技术较占有技术平均增速高，表明行业各企业集团注重技术研发及技术储备。</w:t>
      </w:r>
    </w:p>
    <w:p w:rsidR="00551DDA" w:rsidRPr="002E360D" w:rsidRDefault="00551DDA" w:rsidP="002E360D">
      <w:pPr>
        <w:pStyle w:val="3"/>
        <w:ind w:firstLineChars="196" w:firstLine="551"/>
        <w:rPr>
          <w:rFonts w:asciiTheme="majorEastAsia" w:eastAsiaTheme="majorEastAsia" w:hAnsiTheme="majorEastAsia"/>
          <w:sz w:val="28"/>
          <w:szCs w:val="28"/>
        </w:rPr>
      </w:pPr>
      <w:bookmarkStart w:id="20" w:name="_Toc450668451"/>
      <w:r w:rsidRPr="002E360D">
        <w:rPr>
          <w:rFonts w:asciiTheme="majorEastAsia" w:eastAsiaTheme="majorEastAsia" w:hAnsiTheme="majorEastAsia" w:hint="eastAsia"/>
          <w:sz w:val="28"/>
          <w:szCs w:val="28"/>
        </w:rPr>
        <w:lastRenderedPageBreak/>
        <w:t>2、获奖情况</w:t>
      </w:r>
      <w:bookmarkEnd w:id="20"/>
    </w:p>
    <w:p w:rsidR="002E360D" w:rsidRPr="002E360D" w:rsidRDefault="002E360D" w:rsidP="002E360D">
      <w:pPr>
        <w:jc w:val="center"/>
        <w:rPr>
          <w:sz w:val="28"/>
          <w:szCs w:val="28"/>
        </w:rPr>
      </w:pPr>
      <w:r w:rsidRPr="00BB4947">
        <w:rPr>
          <w:rFonts w:asciiTheme="minorEastAsia" w:eastAsiaTheme="minorEastAsia" w:hAnsiTheme="minorEastAsia" w:hint="eastAsia"/>
          <w:b/>
          <w:sz w:val="24"/>
        </w:rPr>
        <w:t>2012年—2015年行业</w:t>
      </w:r>
      <w:r>
        <w:rPr>
          <w:rFonts w:asciiTheme="minorEastAsia" w:eastAsiaTheme="minorEastAsia" w:hAnsiTheme="minorEastAsia" w:hint="eastAsia"/>
          <w:b/>
          <w:sz w:val="24"/>
        </w:rPr>
        <w:t>获奖情况</w:t>
      </w:r>
      <w:r w:rsidRPr="00BB4947">
        <w:rPr>
          <w:rFonts w:asciiTheme="minorEastAsia" w:eastAsiaTheme="minorEastAsia" w:hAnsiTheme="minorEastAsia" w:hint="eastAsia"/>
          <w:b/>
          <w:sz w:val="24"/>
        </w:rPr>
        <w:t>统计表</w:t>
      </w:r>
    </w:p>
    <w:tbl>
      <w:tblPr>
        <w:tblW w:w="4846" w:type="pct"/>
        <w:jc w:val="center"/>
        <w:tblInd w:w="250" w:type="dxa"/>
        <w:tblLook w:val="04A0"/>
      </w:tblPr>
      <w:tblGrid>
        <w:gridCol w:w="1409"/>
        <w:gridCol w:w="1439"/>
        <w:gridCol w:w="1486"/>
        <w:gridCol w:w="1484"/>
        <w:gridCol w:w="1484"/>
        <w:gridCol w:w="1389"/>
        <w:gridCol w:w="1389"/>
        <w:gridCol w:w="1928"/>
        <w:gridCol w:w="1884"/>
      </w:tblGrid>
      <w:tr w:rsidR="00551DDA" w:rsidRPr="00DA1FD5" w:rsidTr="00390C4C">
        <w:trPr>
          <w:trHeight w:val="576"/>
          <w:tblHeader/>
          <w:jc w:val="center"/>
        </w:trPr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   类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2012年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2015年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各企业集团占比%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平均增长速度%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国家级奖项总计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49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209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100%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25.53%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10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省部级奖项总计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985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767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1102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817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00"/>
                <w:kern w:val="0"/>
                <w:sz w:val="18"/>
                <w:szCs w:val="18"/>
              </w:rPr>
              <w:t>3671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100%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b/>
                <w:bCs/>
                <w:color w:val="FF00FF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b/>
                <w:bCs/>
                <w:color w:val="FF00FF"/>
                <w:kern w:val="0"/>
                <w:sz w:val="18"/>
                <w:szCs w:val="18"/>
              </w:rPr>
              <w:t>-6.04%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51.20%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45.16%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省部级奖项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291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975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26.56%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-10.59%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中国能建集团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21.53%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31.04%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省部级奖项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341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1055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28.74%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5.97%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中国电建集团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8.61%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0.00%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省部级奖项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767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20.89%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-11.52%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其他企业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18.66%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0.00%</w:t>
            </w:r>
          </w:p>
        </w:tc>
      </w:tr>
      <w:tr w:rsidR="00551DDA" w:rsidRPr="00DA1FD5" w:rsidTr="00390C4C">
        <w:trPr>
          <w:trHeight w:val="360"/>
          <w:jc w:val="center"/>
        </w:trPr>
        <w:tc>
          <w:tcPr>
            <w:tcW w:w="5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DDA" w:rsidRPr="00DA1FD5" w:rsidRDefault="00551DDA" w:rsidP="00D250B7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省部级奖项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874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23.81%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1DDA" w:rsidRPr="00DA1FD5" w:rsidRDefault="00551DDA" w:rsidP="00D250B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A1FD5">
              <w:rPr>
                <w:rFonts w:ascii="宋体" w:hAnsi="宋体" w:cs="宋体" w:hint="eastAsia"/>
                <w:kern w:val="0"/>
                <w:sz w:val="18"/>
                <w:szCs w:val="18"/>
              </w:rPr>
              <w:t>-8.55%</w:t>
            </w:r>
          </w:p>
        </w:tc>
      </w:tr>
    </w:tbl>
    <w:p w:rsidR="00551DDA" w:rsidRDefault="00551DDA" w:rsidP="00390C4C">
      <w:pPr>
        <w:spacing w:line="360" w:lineRule="auto"/>
        <w:ind w:firstLineChars="900" w:firstLine="2520"/>
        <w:rPr>
          <w:sz w:val="28"/>
          <w:szCs w:val="28"/>
        </w:rPr>
      </w:pPr>
      <w:r w:rsidRPr="000B71CC">
        <w:rPr>
          <w:noProof/>
          <w:sz w:val="28"/>
          <w:szCs w:val="28"/>
        </w:rPr>
        <w:drawing>
          <wp:inline distT="0" distB="0" distL="0" distR="0">
            <wp:extent cx="5974080" cy="1920240"/>
            <wp:effectExtent l="19050" t="0" r="26670" b="3810"/>
            <wp:docPr id="15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51DDA" w:rsidRDefault="00551DDA" w:rsidP="00390C4C">
      <w:pPr>
        <w:spacing w:line="360" w:lineRule="auto"/>
        <w:ind w:firstLineChars="200" w:firstLine="560"/>
        <w:jc w:val="center"/>
        <w:rPr>
          <w:sz w:val="28"/>
          <w:szCs w:val="28"/>
        </w:rPr>
      </w:pPr>
      <w:r w:rsidRPr="000856D1">
        <w:rPr>
          <w:noProof/>
          <w:sz w:val="28"/>
          <w:szCs w:val="28"/>
        </w:rPr>
        <w:lastRenderedPageBreak/>
        <w:drawing>
          <wp:inline distT="0" distB="0" distL="0" distR="0">
            <wp:extent cx="3836670" cy="1996440"/>
            <wp:effectExtent l="19050" t="0" r="11430" b="3810"/>
            <wp:docPr id="158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0856D1">
        <w:rPr>
          <w:noProof/>
          <w:sz w:val="28"/>
          <w:szCs w:val="28"/>
        </w:rPr>
        <w:drawing>
          <wp:inline distT="0" distB="0" distL="0" distR="0">
            <wp:extent cx="3882390" cy="2004060"/>
            <wp:effectExtent l="19050" t="0" r="22860" b="0"/>
            <wp:docPr id="159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551DDA" w:rsidRPr="005F442F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年以来，整个行业</w:t>
      </w:r>
      <w:r w:rsidRPr="00A04134">
        <w:rPr>
          <w:rFonts w:hint="eastAsia"/>
          <w:b/>
          <w:sz w:val="28"/>
          <w:szCs w:val="28"/>
        </w:rPr>
        <w:t>获得国家级奖项</w:t>
      </w:r>
      <w:r>
        <w:rPr>
          <w:rFonts w:hint="eastAsia"/>
          <w:sz w:val="28"/>
          <w:szCs w:val="28"/>
        </w:rPr>
        <w:t>209</w:t>
      </w:r>
      <w:r>
        <w:rPr>
          <w:rFonts w:hint="eastAsia"/>
          <w:sz w:val="28"/>
          <w:szCs w:val="28"/>
        </w:rPr>
        <w:t>项，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45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97.83%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年以来平均增长水平为</w:t>
      </w:r>
      <w:r>
        <w:rPr>
          <w:rFonts w:hint="eastAsia"/>
          <w:sz w:val="28"/>
          <w:szCs w:val="28"/>
        </w:rPr>
        <w:t>25.53%</w:t>
      </w:r>
      <w:r>
        <w:rPr>
          <w:rFonts w:hint="eastAsia"/>
          <w:sz w:val="28"/>
          <w:szCs w:val="28"/>
        </w:rPr>
        <w:t>。按行业各企业集团获得国家级奖项的占比，由高至低分别为：中电工程</w:t>
      </w:r>
      <w:r>
        <w:rPr>
          <w:rFonts w:hint="eastAsia"/>
          <w:sz w:val="28"/>
          <w:szCs w:val="28"/>
        </w:rPr>
        <w:t>107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51.2%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35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205.88%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45.16%</w:t>
      </w:r>
      <w:r>
        <w:rPr>
          <w:rFonts w:hint="eastAsia"/>
          <w:sz w:val="28"/>
          <w:szCs w:val="28"/>
        </w:rPr>
        <w:t>，增幅最高；中国能建集团</w:t>
      </w:r>
      <w:r>
        <w:rPr>
          <w:rFonts w:hint="eastAsia"/>
          <w:sz w:val="28"/>
          <w:szCs w:val="28"/>
        </w:rPr>
        <w:t>45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21.53%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125.00%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31.04%</w:t>
      </w:r>
      <w:r>
        <w:rPr>
          <w:rFonts w:hint="eastAsia"/>
          <w:sz w:val="28"/>
          <w:szCs w:val="28"/>
        </w:rPr>
        <w:t>，增幅位居第二位；其他企业</w:t>
      </w:r>
      <w:r>
        <w:rPr>
          <w:rFonts w:hint="eastAsia"/>
          <w:sz w:val="28"/>
          <w:szCs w:val="28"/>
        </w:rPr>
        <w:t>39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18.66%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年无增幅，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0%</w:t>
      </w:r>
      <w:r>
        <w:rPr>
          <w:rFonts w:hint="eastAsia"/>
          <w:sz w:val="28"/>
          <w:szCs w:val="28"/>
        </w:rPr>
        <w:t>；中国电建集团</w:t>
      </w:r>
      <w:r>
        <w:rPr>
          <w:rFonts w:hint="eastAsia"/>
          <w:sz w:val="28"/>
          <w:szCs w:val="28"/>
        </w:rPr>
        <w:t>18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8.61%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年较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年无增幅，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0%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</w:t>
      </w:r>
      <w:r w:rsidRPr="005F442F">
        <w:rPr>
          <w:rFonts w:hint="eastAsia"/>
          <w:sz w:val="28"/>
          <w:szCs w:val="28"/>
        </w:rPr>
        <w:t>占行业获得国家级奖项较高权重的中电工程及中国能建集团，获得的国家级奖项均有较大幅度的增长，其他两个集团基本持平。</w:t>
      </w:r>
    </w:p>
    <w:p w:rsidR="00551DDA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年以来，整个行业</w:t>
      </w:r>
      <w:r w:rsidRPr="00A04134">
        <w:rPr>
          <w:rFonts w:hint="eastAsia"/>
          <w:b/>
          <w:sz w:val="28"/>
          <w:szCs w:val="28"/>
        </w:rPr>
        <w:t>获得省部级奖项</w:t>
      </w:r>
      <w:r>
        <w:rPr>
          <w:rFonts w:hint="eastAsia"/>
          <w:sz w:val="28"/>
          <w:szCs w:val="28"/>
        </w:rPr>
        <w:t>3671</w:t>
      </w:r>
      <w:r>
        <w:rPr>
          <w:rFonts w:hint="eastAsia"/>
          <w:sz w:val="28"/>
          <w:szCs w:val="28"/>
        </w:rPr>
        <w:t>项，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168</w:t>
      </w:r>
      <w:r>
        <w:rPr>
          <w:rFonts w:hint="eastAsia"/>
          <w:sz w:val="28"/>
          <w:szCs w:val="28"/>
        </w:rPr>
        <w:t>项，减少了</w:t>
      </w:r>
      <w:r>
        <w:rPr>
          <w:rFonts w:hint="eastAsia"/>
          <w:sz w:val="28"/>
          <w:szCs w:val="28"/>
        </w:rPr>
        <w:t>17.06%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年以来平均增长水平为</w:t>
      </w:r>
      <w:r>
        <w:rPr>
          <w:rFonts w:hint="eastAsia"/>
          <w:sz w:val="28"/>
          <w:szCs w:val="28"/>
        </w:rPr>
        <w:t>-6.04%</w:t>
      </w:r>
      <w:r>
        <w:rPr>
          <w:rFonts w:hint="eastAsia"/>
          <w:sz w:val="28"/>
          <w:szCs w:val="28"/>
        </w:rPr>
        <w:t>。按行业各企业集团获</w:t>
      </w:r>
      <w:r w:rsidRPr="00A04134">
        <w:rPr>
          <w:rFonts w:hint="eastAsia"/>
          <w:b/>
          <w:sz w:val="28"/>
          <w:szCs w:val="28"/>
        </w:rPr>
        <w:t>得</w:t>
      </w:r>
      <w:r w:rsidRPr="00840856">
        <w:rPr>
          <w:rFonts w:hint="eastAsia"/>
          <w:sz w:val="28"/>
          <w:szCs w:val="28"/>
        </w:rPr>
        <w:t>省部级奖项</w:t>
      </w:r>
      <w:r>
        <w:rPr>
          <w:rFonts w:hint="eastAsia"/>
          <w:sz w:val="28"/>
          <w:szCs w:val="28"/>
        </w:rPr>
        <w:t>的占比，由高至低分别为：中国能建集团</w:t>
      </w:r>
      <w:r>
        <w:rPr>
          <w:rFonts w:hint="eastAsia"/>
          <w:sz w:val="28"/>
          <w:szCs w:val="28"/>
        </w:rPr>
        <w:t>1055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lastRenderedPageBreak/>
        <w:t>28.74%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年增长了</w:t>
      </w:r>
      <w:r>
        <w:rPr>
          <w:rFonts w:hint="eastAsia"/>
          <w:sz w:val="28"/>
          <w:szCs w:val="28"/>
        </w:rPr>
        <w:t>42</w:t>
      </w:r>
      <w:r>
        <w:rPr>
          <w:rFonts w:hint="eastAsia"/>
          <w:sz w:val="28"/>
          <w:szCs w:val="28"/>
        </w:rPr>
        <w:t>项，增长了</w:t>
      </w:r>
      <w:r>
        <w:rPr>
          <w:rFonts w:hint="eastAsia"/>
          <w:sz w:val="28"/>
          <w:szCs w:val="28"/>
        </w:rPr>
        <w:t>19.00%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5.97%</w:t>
      </w:r>
      <w:r>
        <w:rPr>
          <w:rFonts w:hint="eastAsia"/>
          <w:sz w:val="28"/>
          <w:szCs w:val="28"/>
        </w:rPr>
        <w:t>，仅该集团为增长趋势；中电工程</w:t>
      </w:r>
      <w:r>
        <w:rPr>
          <w:rFonts w:hint="eastAsia"/>
          <w:sz w:val="28"/>
          <w:szCs w:val="28"/>
        </w:rPr>
        <w:t>975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26.56%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83</w:t>
      </w:r>
      <w:r>
        <w:rPr>
          <w:rFonts w:hint="eastAsia"/>
          <w:sz w:val="28"/>
          <w:szCs w:val="28"/>
        </w:rPr>
        <w:t>项，减少了</w:t>
      </w:r>
      <w:r>
        <w:rPr>
          <w:rFonts w:hint="eastAsia"/>
          <w:sz w:val="28"/>
          <w:szCs w:val="28"/>
        </w:rPr>
        <w:t>28.52%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-10.59%</w:t>
      </w:r>
      <w:r>
        <w:rPr>
          <w:rFonts w:hint="eastAsia"/>
          <w:sz w:val="28"/>
          <w:szCs w:val="28"/>
        </w:rPr>
        <w:t>，为负增长，下降幅度位居第二位；其他企业</w:t>
      </w:r>
      <w:r>
        <w:rPr>
          <w:rFonts w:hint="eastAsia"/>
          <w:sz w:val="28"/>
          <w:szCs w:val="28"/>
        </w:rPr>
        <w:t>874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23.81%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项，减少了</w:t>
      </w:r>
      <w:r>
        <w:rPr>
          <w:rFonts w:hint="eastAsia"/>
          <w:sz w:val="28"/>
          <w:szCs w:val="28"/>
        </w:rPr>
        <w:t>23.53%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-8.55%</w:t>
      </w:r>
      <w:r>
        <w:rPr>
          <w:rFonts w:hint="eastAsia"/>
          <w:sz w:val="28"/>
          <w:szCs w:val="28"/>
        </w:rPr>
        <w:t>，为负增长，下降幅度位居第三位；中国电建集团</w:t>
      </w:r>
      <w:r>
        <w:rPr>
          <w:rFonts w:hint="eastAsia"/>
          <w:sz w:val="28"/>
          <w:szCs w:val="28"/>
        </w:rPr>
        <w:t>767</w:t>
      </w:r>
      <w:r>
        <w:rPr>
          <w:rFonts w:hint="eastAsia"/>
          <w:sz w:val="28"/>
          <w:szCs w:val="28"/>
        </w:rPr>
        <w:t>项，占</w:t>
      </w:r>
      <w:r>
        <w:rPr>
          <w:rFonts w:hint="eastAsia"/>
          <w:sz w:val="28"/>
          <w:szCs w:val="28"/>
        </w:rPr>
        <w:t>20.89%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年比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年减少了</w:t>
      </w:r>
      <w:r>
        <w:rPr>
          <w:rFonts w:hint="eastAsia"/>
          <w:sz w:val="28"/>
          <w:szCs w:val="28"/>
        </w:rPr>
        <w:t>67</w:t>
      </w:r>
      <w:r>
        <w:rPr>
          <w:rFonts w:hint="eastAsia"/>
          <w:sz w:val="28"/>
          <w:szCs w:val="28"/>
        </w:rPr>
        <w:t>项，下降了</w:t>
      </w:r>
      <w:r>
        <w:rPr>
          <w:rFonts w:hint="eastAsia"/>
          <w:sz w:val="28"/>
          <w:szCs w:val="28"/>
        </w:rPr>
        <w:t>30.73%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年以来平均增长速度为</w:t>
      </w:r>
      <w:r>
        <w:rPr>
          <w:rFonts w:hint="eastAsia"/>
          <w:sz w:val="28"/>
          <w:szCs w:val="28"/>
        </w:rPr>
        <w:t>-11.52%</w:t>
      </w:r>
      <w:r>
        <w:rPr>
          <w:rFonts w:hint="eastAsia"/>
          <w:sz w:val="28"/>
          <w:szCs w:val="28"/>
        </w:rPr>
        <w:t>，下降幅度最大。</w:t>
      </w: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年以来，在行业各企业集团获得省部级奖项中，除了中国能建集团为增长趋势，其他企业集团均有不同程度的下降。</w:t>
      </w:r>
    </w:p>
    <w:p w:rsidR="00551DDA" w:rsidRPr="002524A6" w:rsidRDefault="00551DDA" w:rsidP="00551DDA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2012</w:t>
      </w:r>
      <w:r>
        <w:rPr>
          <w:rFonts w:hint="eastAsia"/>
          <w:sz w:val="28"/>
          <w:szCs w:val="28"/>
        </w:rPr>
        <w:t>年以来，行业各企业集团获得的国家级奖项增长，获得的省部级奖项减少，反映出行业各企业集团的勘测设计技术水平在不断提高。</w:t>
      </w:r>
    </w:p>
    <w:p w:rsidR="00551DDA" w:rsidRPr="00551DDA" w:rsidRDefault="00551DDA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551DDA" w:rsidRDefault="00551DDA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E360D" w:rsidRDefault="002E360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E360D" w:rsidRDefault="002E360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E360D" w:rsidRDefault="002E360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E360D" w:rsidRDefault="002E360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2E360D" w:rsidRDefault="002E360D" w:rsidP="00C15F2D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</w:p>
    <w:p w:rsidR="00C15F2D" w:rsidRPr="002E360D" w:rsidRDefault="00551DDA" w:rsidP="002E360D">
      <w:pPr>
        <w:pStyle w:val="1"/>
        <w:jc w:val="center"/>
        <w:rPr>
          <w:rFonts w:asciiTheme="majorEastAsia" w:eastAsiaTheme="majorEastAsia" w:hAnsiTheme="majorEastAsia"/>
          <w:sz w:val="32"/>
          <w:szCs w:val="32"/>
        </w:rPr>
      </w:pPr>
      <w:bookmarkStart w:id="21" w:name="_Toc450668452"/>
      <w:r w:rsidRPr="002E360D">
        <w:rPr>
          <w:rFonts w:asciiTheme="majorEastAsia" w:eastAsiaTheme="majorEastAsia" w:hAnsiTheme="majorEastAsia" w:hint="eastAsia"/>
          <w:sz w:val="32"/>
          <w:szCs w:val="32"/>
        </w:rPr>
        <w:lastRenderedPageBreak/>
        <w:t>第二部分：</w:t>
      </w:r>
      <w:r w:rsidR="00C15F2D" w:rsidRPr="002E360D">
        <w:rPr>
          <w:rFonts w:asciiTheme="majorEastAsia" w:eastAsiaTheme="majorEastAsia" w:hAnsiTheme="majorEastAsia" w:hint="eastAsia"/>
          <w:sz w:val="32"/>
          <w:szCs w:val="32"/>
        </w:rPr>
        <w:t>201</w:t>
      </w:r>
      <w:r w:rsidR="005430A3" w:rsidRPr="002E360D">
        <w:rPr>
          <w:rFonts w:asciiTheme="majorEastAsia" w:eastAsiaTheme="majorEastAsia" w:hAnsiTheme="majorEastAsia" w:hint="eastAsia"/>
          <w:sz w:val="32"/>
          <w:szCs w:val="32"/>
        </w:rPr>
        <w:t>5</w:t>
      </w:r>
      <w:r w:rsidR="00C15F2D" w:rsidRPr="002E360D">
        <w:rPr>
          <w:rFonts w:asciiTheme="majorEastAsia" w:eastAsiaTheme="majorEastAsia" w:hAnsiTheme="majorEastAsia" w:hint="eastAsia"/>
          <w:sz w:val="32"/>
          <w:szCs w:val="32"/>
        </w:rPr>
        <w:t>年</w:t>
      </w:r>
      <w:r w:rsidR="002E360D">
        <w:rPr>
          <w:rFonts w:asciiTheme="majorEastAsia" w:eastAsiaTheme="majorEastAsia" w:hAnsiTheme="majorEastAsia" w:hint="eastAsia"/>
          <w:sz w:val="32"/>
          <w:szCs w:val="32"/>
        </w:rPr>
        <w:t>度</w:t>
      </w:r>
      <w:r w:rsidR="00C15F2D" w:rsidRPr="002E360D">
        <w:rPr>
          <w:rFonts w:asciiTheme="majorEastAsia" w:eastAsiaTheme="majorEastAsia" w:hAnsiTheme="majorEastAsia" w:hint="eastAsia"/>
          <w:sz w:val="32"/>
          <w:szCs w:val="32"/>
        </w:rPr>
        <w:t>电力勘测设计统计年报分析报告</w:t>
      </w:r>
      <w:bookmarkEnd w:id="21"/>
    </w:p>
    <w:p w:rsidR="00D675B3" w:rsidRPr="00551DDA" w:rsidRDefault="00D675B3" w:rsidP="00D675B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551DDA">
        <w:rPr>
          <w:rFonts w:ascii="宋体" w:hAnsi="宋体" w:hint="eastAsia"/>
          <w:sz w:val="28"/>
          <w:szCs w:val="28"/>
        </w:rPr>
        <w:t>201</w:t>
      </w:r>
      <w:r w:rsidR="00551DDA" w:rsidRPr="00551DDA">
        <w:rPr>
          <w:rFonts w:ascii="宋体" w:hAnsi="宋体" w:hint="eastAsia"/>
          <w:sz w:val="28"/>
          <w:szCs w:val="28"/>
        </w:rPr>
        <w:t>5</w:t>
      </w:r>
      <w:r w:rsidRPr="00551DDA">
        <w:rPr>
          <w:rFonts w:ascii="宋体" w:hAnsi="宋体" w:hint="eastAsia"/>
          <w:sz w:val="28"/>
          <w:szCs w:val="28"/>
        </w:rPr>
        <w:t>年电力勘测设计统计年报分析报告是依据年度</w:t>
      </w:r>
      <w:r w:rsidR="00A6323C" w:rsidRPr="00551DDA">
        <w:rPr>
          <w:rFonts w:ascii="宋体" w:hAnsi="宋体" w:hint="eastAsia"/>
          <w:sz w:val="28"/>
          <w:szCs w:val="28"/>
        </w:rPr>
        <w:t>统计</w:t>
      </w:r>
      <w:r w:rsidRPr="00551DDA">
        <w:rPr>
          <w:rFonts w:ascii="宋体" w:hAnsi="宋体" w:hint="eastAsia"/>
          <w:sz w:val="28"/>
          <w:szCs w:val="28"/>
        </w:rPr>
        <w:t>报表数据进行编制分析。201</w:t>
      </w:r>
      <w:r w:rsidR="00551DDA" w:rsidRPr="00551DDA">
        <w:rPr>
          <w:rFonts w:ascii="宋体" w:hAnsi="宋体" w:hint="eastAsia"/>
          <w:sz w:val="28"/>
          <w:szCs w:val="28"/>
        </w:rPr>
        <w:t>5</w:t>
      </w:r>
      <w:r w:rsidRPr="00551DDA">
        <w:rPr>
          <w:rFonts w:ascii="宋体" w:hAnsi="宋体" w:hint="eastAsia"/>
          <w:sz w:val="28"/>
          <w:szCs w:val="28"/>
        </w:rPr>
        <w:t>年统计年报共收集了9</w:t>
      </w:r>
      <w:r w:rsidR="00551DDA" w:rsidRPr="00551DDA">
        <w:rPr>
          <w:rFonts w:ascii="宋体" w:hAnsi="宋体" w:hint="eastAsia"/>
          <w:sz w:val="28"/>
          <w:szCs w:val="28"/>
        </w:rPr>
        <w:t>5</w:t>
      </w:r>
      <w:r w:rsidRPr="00551DDA">
        <w:rPr>
          <w:rFonts w:ascii="宋体" w:hAnsi="宋体" w:hint="eastAsia"/>
          <w:sz w:val="28"/>
          <w:szCs w:val="28"/>
        </w:rPr>
        <w:t>家勘测设计单位上报的统计信息，按单位隶属等级划分,主要包括：顾问集团7家单位，省属设计院33家单位,供电及其它设计院</w:t>
      </w:r>
      <w:r w:rsidR="0006334C" w:rsidRPr="00551DDA">
        <w:rPr>
          <w:rFonts w:ascii="宋体" w:hAnsi="宋体" w:hint="eastAsia"/>
          <w:sz w:val="28"/>
          <w:szCs w:val="28"/>
        </w:rPr>
        <w:t>5</w:t>
      </w:r>
      <w:r w:rsidR="0006334C">
        <w:rPr>
          <w:rFonts w:ascii="宋体" w:hAnsi="宋体" w:hint="eastAsia"/>
          <w:sz w:val="28"/>
          <w:szCs w:val="28"/>
        </w:rPr>
        <w:t>4</w:t>
      </w:r>
      <w:r w:rsidRPr="00551DDA">
        <w:rPr>
          <w:rFonts w:ascii="宋体" w:hAnsi="宋体" w:hint="eastAsia"/>
          <w:sz w:val="28"/>
          <w:szCs w:val="28"/>
        </w:rPr>
        <w:t>家单位；按所属集团分类划分,主要包括:中电工程7家,中能建集团15家,中电建集团11家, 供电及其它设计院</w:t>
      </w:r>
      <w:r w:rsidR="0006334C" w:rsidRPr="00551DDA">
        <w:rPr>
          <w:rFonts w:ascii="宋体" w:hAnsi="宋体" w:hint="eastAsia"/>
          <w:sz w:val="28"/>
          <w:szCs w:val="28"/>
        </w:rPr>
        <w:t>6</w:t>
      </w:r>
      <w:r w:rsidR="0006334C">
        <w:rPr>
          <w:rFonts w:ascii="宋体" w:hAnsi="宋体" w:hint="eastAsia"/>
          <w:sz w:val="28"/>
          <w:szCs w:val="28"/>
        </w:rPr>
        <w:t>1</w:t>
      </w:r>
      <w:r w:rsidRPr="00551DDA">
        <w:rPr>
          <w:rFonts w:ascii="宋体" w:hAnsi="宋体" w:hint="eastAsia"/>
          <w:sz w:val="28"/>
          <w:szCs w:val="28"/>
        </w:rPr>
        <w:t>家。</w:t>
      </w:r>
    </w:p>
    <w:p w:rsidR="00C15F2D" w:rsidRDefault="00D675B3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551DDA">
        <w:rPr>
          <w:rFonts w:ascii="宋体" w:hAnsi="宋体" w:hint="eastAsia"/>
          <w:sz w:val="28"/>
          <w:szCs w:val="28"/>
        </w:rPr>
        <w:t>统计分析报告的分析侧重于数据结构和构成，本报告分别按重要生产经营总体指标、主要生产经营指标发展趋势、单位隶属等级和所属集团四部份进行了分析。</w:t>
      </w:r>
    </w:p>
    <w:p w:rsidR="000F4F8B" w:rsidRDefault="000F4F8B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0F4F8B" w:rsidRDefault="000F4F8B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0F4F8B" w:rsidRDefault="000F4F8B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E360D" w:rsidRDefault="002E360D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E360D" w:rsidRDefault="002E360D" w:rsidP="00EE20B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992484" w:rsidRPr="002C5D67" w:rsidRDefault="00992484" w:rsidP="00992484">
      <w:pPr>
        <w:pStyle w:val="2"/>
        <w:numPr>
          <w:ilvl w:val="0"/>
          <w:numId w:val="1"/>
        </w:numPr>
        <w:spacing w:line="360" w:lineRule="auto"/>
        <w:rPr>
          <w:rFonts w:ascii="宋体" w:eastAsia="宋体" w:hAnsi="宋体"/>
        </w:rPr>
      </w:pPr>
      <w:bookmarkStart w:id="22" w:name="_Toc450668453"/>
      <w:r w:rsidRPr="002C5D67">
        <w:rPr>
          <w:rFonts w:ascii="宋体" w:eastAsia="宋体" w:hAnsi="宋体" w:hint="eastAsia"/>
        </w:rPr>
        <w:lastRenderedPageBreak/>
        <w:t>重要生产经营总体指标分析</w:t>
      </w:r>
      <w:bookmarkEnd w:id="22"/>
    </w:p>
    <w:p w:rsidR="00992484" w:rsidRPr="002C5D67" w:rsidRDefault="00992484" w:rsidP="002C5D67">
      <w:pPr>
        <w:ind w:firstLineChars="200" w:firstLine="560"/>
        <w:rPr>
          <w:rFonts w:asciiTheme="minorEastAsia" w:eastAsiaTheme="minorEastAsia" w:hAnsiTheme="minorEastAsia" w:cs="宋体"/>
          <w:bCs/>
          <w:color w:val="000000"/>
          <w:kern w:val="0"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C63ED4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2C5D67">
        <w:rPr>
          <w:rFonts w:asciiTheme="minorEastAsia" w:eastAsiaTheme="minorEastAsia" w:hAnsiTheme="minorEastAsia" w:hint="eastAsia"/>
          <w:sz w:val="28"/>
          <w:szCs w:val="28"/>
        </w:rPr>
        <w:t>年，电力勘测设计行业（指所属中国电力规划设计协会所有会员单位）（简称行业）主要统计指标与201</w:t>
      </w:r>
      <w:r w:rsidR="00C63ED4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2C5D67">
        <w:rPr>
          <w:rFonts w:asciiTheme="minorEastAsia" w:eastAsiaTheme="minorEastAsia" w:hAnsiTheme="minorEastAsia" w:hint="eastAsia"/>
          <w:sz w:val="28"/>
          <w:szCs w:val="28"/>
        </w:rPr>
        <w:t>年相比，大部分指标都有不同程度增长，个别指标呈现下降趋势，具体情况如下表：</w:t>
      </w:r>
    </w:p>
    <w:p w:rsidR="00374A03" w:rsidRPr="002C5D67" w:rsidRDefault="00D831D1" w:rsidP="002C5D67">
      <w:pPr>
        <w:jc w:val="center"/>
        <w:rPr>
          <w:rFonts w:asciiTheme="minorEastAsia" w:eastAsiaTheme="minorEastAsia" w:hAnsiTheme="minorEastAsia"/>
          <w:b/>
          <w:kern w:val="0"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bCs/>
          <w:kern w:val="0"/>
          <w:sz w:val="28"/>
          <w:szCs w:val="28"/>
        </w:rPr>
        <w:t>201</w:t>
      </w:r>
      <w:r w:rsidR="00A80F50">
        <w:rPr>
          <w:rFonts w:asciiTheme="minorEastAsia" w:eastAsiaTheme="minorEastAsia" w:hAnsiTheme="minorEastAsia" w:hint="eastAsia"/>
          <w:b/>
          <w:bCs/>
          <w:kern w:val="0"/>
          <w:sz w:val="28"/>
          <w:szCs w:val="28"/>
        </w:rPr>
        <w:t>5</w:t>
      </w:r>
      <w:r w:rsidRPr="002C5D67">
        <w:rPr>
          <w:rFonts w:asciiTheme="minorEastAsia" w:eastAsiaTheme="minorEastAsia" w:hAnsiTheme="minorEastAsia" w:hint="eastAsia"/>
          <w:b/>
          <w:bCs/>
          <w:kern w:val="0"/>
          <w:sz w:val="28"/>
          <w:szCs w:val="28"/>
        </w:rPr>
        <w:t>年完成的</w:t>
      </w:r>
      <w:r w:rsidRPr="002C5D67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重要</w:t>
      </w:r>
      <w:r w:rsidR="0045668F" w:rsidRPr="002C5D67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生产经营总体</w:t>
      </w:r>
      <w:r w:rsidRPr="002C5D67">
        <w:rPr>
          <w:rFonts w:asciiTheme="minorEastAsia" w:eastAsiaTheme="minorEastAsia" w:hAnsiTheme="minorEastAsia" w:hint="eastAsia"/>
          <w:b/>
          <w:kern w:val="0"/>
          <w:sz w:val="28"/>
          <w:szCs w:val="28"/>
        </w:rPr>
        <w:t>指标分析一栏表</w:t>
      </w:r>
    </w:p>
    <w:tbl>
      <w:tblPr>
        <w:tblW w:w="13983" w:type="dxa"/>
        <w:jc w:val="center"/>
        <w:tblInd w:w="401" w:type="dxa"/>
        <w:tblLook w:val="04A0"/>
      </w:tblPr>
      <w:tblGrid>
        <w:gridCol w:w="397"/>
        <w:gridCol w:w="2998"/>
        <w:gridCol w:w="1020"/>
        <w:gridCol w:w="840"/>
        <w:gridCol w:w="1020"/>
        <w:gridCol w:w="760"/>
        <w:gridCol w:w="1100"/>
        <w:gridCol w:w="1240"/>
        <w:gridCol w:w="880"/>
        <w:gridCol w:w="920"/>
        <w:gridCol w:w="1000"/>
        <w:gridCol w:w="1808"/>
      </w:tblGrid>
      <w:tr w:rsidR="0058457D" w:rsidRPr="0058457D" w:rsidTr="00EF0452">
        <w:trPr>
          <w:trHeight w:val="420"/>
          <w:tblHeader/>
          <w:jc w:val="center"/>
        </w:trPr>
        <w:tc>
          <w:tcPr>
            <w:tcW w:w="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指标分类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A80F5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</w:t>
            </w:r>
            <w:r w:rsidR="00A80F5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</w:t>
            </w: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A80F5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</w:t>
            </w:r>
            <w:r w:rsidR="00A80F5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A80F50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</w:t>
            </w:r>
            <w:r w:rsidR="00A80F5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5</w:t>
            </w: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年与201</w:t>
            </w:r>
            <w:r w:rsidR="00A80F50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4</w:t>
            </w: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年对比分析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人均值（万元/人）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58457D" w:rsidRPr="0058457D" w:rsidTr="00EF0452">
        <w:trPr>
          <w:trHeight w:val="540"/>
          <w:tblHeader/>
          <w:jc w:val="center"/>
        </w:trPr>
        <w:tc>
          <w:tcPr>
            <w:tcW w:w="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57D" w:rsidRPr="0058457D" w:rsidRDefault="0058457D" w:rsidP="0058457D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57D" w:rsidRPr="0058457D" w:rsidRDefault="0058457D" w:rsidP="0058457D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完成值  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占比%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完成值 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占比%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完成值对比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占比值对比%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2014年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2013年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增减比</w:t>
            </w: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57D" w:rsidRPr="0058457D" w:rsidRDefault="0058457D" w:rsidP="0058457D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期末职工总数（人）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33509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33128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1.15%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118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二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拥有资产总额（亿元）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842.3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714.88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17.82%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251.37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215.79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16%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三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新签合同总额(亿元）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1202.82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1114.88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7.89%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358.95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336.54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7%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总承包合同额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985.88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872.74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12.96%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3.68%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294.21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263.44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12%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1+2＝“三”</w:t>
            </w:r>
          </w:p>
        </w:tc>
      </w:tr>
      <w:tr w:rsidR="00A80F50" w:rsidRPr="0058457D" w:rsidTr="00EF0452">
        <w:trPr>
          <w:trHeight w:val="555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18114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勘测设计咨询合同额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216.94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242.14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-10.41%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-3.68%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64.74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73.09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-11%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280.12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23%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258.03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23%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8.56%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0.14%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83.60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77.89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为“三”的其中项数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境外总承包合同额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265.25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241.48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94%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9.84%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1.11%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79.16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72.89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49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</w:t>
            </w:r>
            <w:r w:rsidR="00181148"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勘测设计咨询合同额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14.87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16.55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6%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-10.15%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-1.11%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4.44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5.00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-11%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58457D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四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完成总产值(亿元）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245.3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243.09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0.91%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73.20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73.38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0%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528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总承包产值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20.22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19.15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7.9%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5.59%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0.37%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6.03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5.78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按总承包项目中完成的管理费进度统计计算产值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18114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勘测设计咨询产值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225.08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92%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223.94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92.1%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0.51%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-0.37%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67.17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67.60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58457D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8457D" w:rsidRPr="0058457D" w:rsidTr="00EF0452">
        <w:trPr>
          <w:trHeight w:val="376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五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总承包项目开展情况分析(亿元）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09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总承包开展项目合同额总额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1896.27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1270.48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49.26%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565.90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383.51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48%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56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当年完成总承包项目合同额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459.18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342.7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27%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33.99%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-2.76%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137.03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103.45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32%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8457D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58457D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2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六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营业收入(亿元）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719.03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629.45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14.23%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214.58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190.01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13%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321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总承包收入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495.66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69%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410.17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65%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20.84%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3.77%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147.92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123.81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19%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1+2＝“三”</w:t>
            </w:r>
          </w:p>
        </w:tc>
      </w:tr>
      <w:tr w:rsidR="00A80F50" w:rsidRPr="0058457D" w:rsidTr="00EF0452">
        <w:trPr>
          <w:trHeight w:val="411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18114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勘测设计咨询收入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223.37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31%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219.28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1.87%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-3.77%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66.66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66.19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17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境外收入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29.61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-2.60%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-0.71%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8.84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9.18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-4%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为“三”的其中项数</w:t>
            </w:r>
          </w:p>
        </w:tc>
      </w:tr>
      <w:tr w:rsidR="00A80F50" w:rsidRPr="0058457D" w:rsidTr="00EF0452">
        <w:trPr>
          <w:trHeight w:val="409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境外总承包收入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74%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21.48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1.49%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2.97%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6.51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6.48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0%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528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18114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境外勘测设计咨询收入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7.81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36%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8.92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42%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-12.44%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-5.70%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2.33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2.69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-13%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</w:tr>
      <w:tr w:rsidR="0058457D" w:rsidRPr="00C63ED4" w:rsidTr="00EF0452">
        <w:trPr>
          <w:trHeight w:val="91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457D" w:rsidRPr="00C63ED4" w:rsidRDefault="0058457D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0"/>
                <w:szCs w:val="10"/>
              </w:rPr>
            </w:pPr>
            <w:r w:rsidRPr="00C63ED4">
              <w:rPr>
                <w:rFonts w:ascii="宋体" w:hAnsi="宋体" w:cs="宋体" w:hint="eastAsia"/>
                <w:color w:val="000000"/>
                <w:kern w:val="0"/>
                <w:sz w:val="10"/>
                <w:szCs w:val="10"/>
              </w:rPr>
              <w:t xml:space="preserve">　</w:t>
            </w:r>
          </w:p>
        </w:tc>
      </w:tr>
      <w:tr w:rsidR="00A80F50" w:rsidRPr="0058457D" w:rsidTr="00EF0452">
        <w:trPr>
          <w:trHeight w:val="39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七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实现利润总额(亿元）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62.48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53.91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15.90%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18.65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16.27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15%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387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八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净利润(亿元）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51.5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44.79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14.98%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15.37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13.52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14%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180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A80F50" w:rsidRPr="0058457D" w:rsidTr="00EF0452">
        <w:trPr>
          <w:trHeight w:val="435"/>
          <w:jc w:val="center"/>
        </w:trPr>
        <w:tc>
          <w:tcPr>
            <w:tcW w:w="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九</w:t>
            </w:r>
          </w:p>
        </w:tc>
        <w:tc>
          <w:tcPr>
            <w:tcW w:w="3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经济增加值(亿元）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38.65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37.42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3.29%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11.53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 xml:space="preserve">11.30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A80F50" w:rsidRPr="00A80F50" w:rsidRDefault="00A80F50">
            <w:pPr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sz w:val="18"/>
                <w:szCs w:val="18"/>
              </w:rPr>
            </w:pPr>
            <w:r w:rsidRPr="00A80F50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18"/>
                <w:szCs w:val="18"/>
              </w:rPr>
              <w:t>2%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F50" w:rsidRPr="0058457D" w:rsidRDefault="00A80F50" w:rsidP="0058457D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8457D"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A80F50" w:rsidRDefault="00A80F50" w:rsidP="001C401C">
      <w:pPr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</w:rPr>
      </w:pPr>
    </w:p>
    <w:p w:rsidR="001C401C" w:rsidRDefault="001C401C" w:rsidP="001C401C">
      <w:pPr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</w:rPr>
      </w:pPr>
      <w:r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201</w:t>
      </w:r>
      <w:r w:rsidR="00C63ED4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5</w:t>
      </w:r>
      <w:r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年完成的重要生产经营总体指标与201</w:t>
      </w:r>
      <w:r w:rsidR="00C63ED4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4</w:t>
      </w:r>
      <w:r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年对比分析图</w:t>
      </w:r>
    </w:p>
    <w:p w:rsidR="00C63ED4" w:rsidRPr="00C63ED4" w:rsidRDefault="00C63ED4" w:rsidP="001C401C">
      <w:pPr>
        <w:jc w:val="center"/>
        <w:rPr>
          <w:rFonts w:ascii="宋体" w:hAnsi="宋体" w:cs="宋体"/>
          <w:b/>
          <w:bCs/>
          <w:color w:val="000000"/>
          <w:kern w:val="0"/>
          <w:szCs w:val="21"/>
        </w:rPr>
      </w:pPr>
    </w:p>
    <w:p w:rsidR="00374A03" w:rsidRDefault="00A80F50" w:rsidP="00EE24B1">
      <w:pPr>
        <w:jc w:val="center"/>
      </w:pPr>
      <w:r w:rsidRPr="00A80F50">
        <w:rPr>
          <w:noProof/>
        </w:rPr>
        <w:drawing>
          <wp:inline distT="0" distB="0" distL="0" distR="0">
            <wp:extent cx="8772525" cy="3895725"/>
            <wp:effectExtent l="19050" t="0" r="9525" b="0"/>
            <wp:docPr id="87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63ED4" w:rsidRDefault="00C63ED4" w:rsidP="00374A03"/>
    <w:p w:rsidR="00C63ED4" w:rsidRDefault="00C63ED4" w:rsidP="00374A03"/>
    <w:p w:rsidR="00C63ED4" w:rsidRDefault="00C63ED4" w:rsidP="00374A03"/>
    <w:p w:rsidR="00C63ED4" w:rsidRDefault="00C63ED4" w:rsidP="00374A03"/>
    <w:p w:rsidR="00FC0859" w:rsidRDefault="00847515" w:rsidP="006C1A4C">
      <w:pPr>
        <w:tabs>
          <w:tab w:val="left" w:pos="3960"/>
        </w:tabs>
        <w:rPr>
          <w:rFonts w:ascii="宋体" w:hAnsi="宋体" w:cs="宋体"/>
          <w:b/>
          <w:bCs/>
          <w:color w:val="000000"/>
          <w:kern w:val="0"/>
          <w:sz w:val="36"/>
          <w:szCs w:val="36"/>
        </w:rPr>
      </w:pPr>
      <w:r>
        <w:lastRenderedPageBreak/>
        <w:tab/>
      </w:r>
      <w:r w:rsidR="00FC0859"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201</w:t>
      </w:r>
      <w:r w:rsidR="00C63ED4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5</w:t>
      </w:r>
      <w:r w:rsidR="00FC0859"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年人均指标与201</w:t>
      </w:r>
      <w:r w:rsidR="00C63ED4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4</w:t>
      </w:r>
      <w:r w:rsidR="00FC0859" w:rsidRPr="002C5D67"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年对比分析图</w:t>
      </w:r>
    </w:p>
    <w:p w:rsidR="00C63ED4" w:rsidRPr="002C5D67" w:rsidRDefault="00C63ED4" w:rsidP="006C1A4C">
      <w:pPr>
        <w:tabs>
          <w:tab w:val="left" w:pos="3960"/>
        </w:tabs>
      </w:pPr>
    </w:p>
    <w:p w:rsidR="00374A03" w:rsidRPr="002C5D67" w:rsidRDefault="00C63ED4" w:rsidP="00EE24B1">
      <w:pPr>
        <w:jc w:val="center"/>
      </w:pPr>
      <w:r w:rsidRPr="00C63ED4">
        <w:rPr>
          <w:noProof/>
        </w:rPr>
        <w:drawing>
          <wp:inline distT="0" distB="0" distL="0" distR="0">
            <wp:extent cx="8692515" cy="3676650"/>
            <wp:effectExtent l="19050" t="0" r="13335" b="0"/>
            <wp:docPr id="108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74A03" w:rsidRPr="002C5D67" w:rsidRDefault="00374A03" w:rsidP="00374A03"/>
    <w:p w:rsidR="00374A03" w:rsidRPr="00D8458C" w:rsidRDefault="00374A03" w:rsidP="00D8458C">
      <w:pPr>
        <w:pStyle w:val="a9"/>
        <w:spacing w:line="360" w:lineRule="auto"/>
        <w:ind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sz w:val="28"/>
          <w:szCs w:val="28"/>
        </w:rPr>
        <w:t>1、年末职工人数分析</w:t>
      </w:r>
    </w:p>
    <w:p w:rsidR="00992484" w:rsidRPr="002C5D67" w:rsidRDefault="00992484" w:rsidP="00D8458C">
      <w:pPr>
        <w:pStyle w:val="a9"/>
        <w:spacing w:line="360" w:lineRule="auto"/>
        <w:ind w:firstLineChars="200" w:firstLine="560"/>
        <w:rPr>
          <w:color w:val="000000"/>
          <w:sz w:val="28"/>
          <w:szCs w:val="28"/>
        </w:rPr>
      </w:pPr>
      <w:r w:rsidRPr="002C5D67">
        <w:rPr>
          <w:rFonts w:cs="Helvetica"/>
          <w:color w:val="000000"/>
          <w:sz w:val="28"/>
          <w:szCs w:val="28"/>
        </w:rPr>
        <w:t>201</w:t>
      </w:r>
      <w:r w:rsidR="00C63ED4">
        <w:rPr>
          <w:rFonts w:cs="Helvetica" w:hint="eastAsia"/>
          <w:color w:val="000000"/>
          <w:sz w:val="28"/>
          <w:szCs w:val="28"/>
        </w:rPr>
        <w:t>5</w:t>
      </w:r>
      <w:r w:rsidRPr="002C5D67">
        <w:rPr>
          <w:rFonts w:hint="eastAsia"/>
          <w:color w:val="000000"/>
          <w:sz w:val="28"/>
          <w:szCs w:val="28"/>
        </w:rPr>
        <w:t>年，行业年末职工总人数</w:t>
      </w:r>
      <w:r w:rsidR="00C63ED4">
        <w:rPr>
          <w:rFonts w:hint="eastAsia"/>
          <w:b/>
          <w:color w:val="000000"/>
          <w:sz w:val="28"/>
          <w:szCs w:val="28"/>
        </w:rPr>
        <w:t>33509</w:t>
      </w:r>
      <w:r w:rsidRPr="002C5D67">
        <w:rPr>
          <w:rFonts w:hint="eastAsia"/>
          <w:color w:val="000000"/>
          <w:sz w:val="28"/>
          <w:szCs w:val="28"/>
        </w:rPr>
        <w:t>人，较去年同期增加</w:t>
      </w:r>
      <w:r w:rsidR="00D8458C">
        <w:rPr>
          <w:rFonts w:hint="eastAsia"/>
          <w:color w:val="000000"/>
          <w:sz w:val="28"/>
          <w:szCs w:val="28"/>
        </w:rPr>
        <w:t>381</w:t>
      </w:r>
      <w:r w:rsidRPr="002C5D67">
        <w:rPr>
          <w:rFonts w:hint="eastAsia"/>
          <w:color w:val="000000"/>
          <w:sz w:val="28"/>
          <w:szCs w:val="28"/>
        </w:rPr>
        <w:t>人，增长了</w:t>
      </w:r>
      <w:r w:rsidR="00D8458C">
        <w:rPr>
          <w:rFonts w:hint="eastAsia"/>
          <w:color w:val="000000"/>
          <w:sz w:val="28"/>
          <w:szCs w:val="28"/>
        </w:rPr>
        <w:t>1.15</w:t>
      </w:r>
      <w:r w:rsidRPr="002C5D67">
        <w:rPr>
          <w:rFonts w:hint="eastAsia"/>
          <w:color w:val="000000"/>
          <w:sz w:val="28"/>
          <w:szCs w:val="28"/>
        </w:rPr>
        <w:t>%。</w:t>
      </w:r>
    </w:p>
    <w:p w:rsidR="00374A03" w:rsidRPr="002C5D67" w:rsidRDefault="00374A03" w:rsidP="00D8458C">
      <w:pPr>
        <w:pStyle w:val="a9"/>
        <w:spacing w:line="360" w:lineRule="auto"/>
        <w:ind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2、资产总额分析</w:t>
      </w:r>
    </w:p>
    <w:p w:rsidR="00374A03" w:rsidRPr="002C5D67" w:rsidRDefault="00992484" w:rsidP="00D8458C">
      <w:pPr>
        <w:pStyle w:val="a9"/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hint="eastAsia"/>
          <w:color w:val="000000"/>
          <w:sz w:val="28"/>
          <w:szCs w:val="28"/>
        </w:rPr>
        <w:t>201</w:t>
      </w:r>
      <w:r w:rsidR="00D8458C">
        <w:rPr>
          <w:rFonts w:hint="eastAsia"/>
          <w:color w:val="000000"/>
          <w:sz w:val="28"/>
          <w:szCs w:val="28"/>
        </w:rPr>
        <w:t>5</w:t>
      </w:r>
      <w:r w:rsidRPr="002C5D67">
        <w:rPr>
          <w:rFonts w:hint="eastAsia"/>
          <w:color w:val="000000"/>
          <w:sz w:val="28"/>
          <w:szCs w:val="28"/>
        </w:rPr>
        <w:t>年，行业拥有资产总额</w:t>
      </w:r>
      <w:r w:rsidR="00D8458C">
        <w:rPr>
          <w:rFonts w:hint="eastAsia"/>
          <w:b/>
          <w:color w:val="000000"/>
          <w:sz w:val="28"/>
          <w:szCs w:val="28"/>
        </w:rPr>
        <w:t>842.3</w:t>
      </w:r>
      <w:r w:rsidRPr="002C5D67">
        <w:rPr>
          <w:rFonts w:hint="eastAsia"/>
          <w:color w:val="000000"/>
          <w:sz w:val="28"/>
          <w:szCs w:val="28"/>
        </w:rPr>
        <w:t>亿元，较去年同期增加</w:t>
      </w:r>
      <w:r w:rsidR="00D8458C">
        <w:rPr>
          <w:rFonts w:hint="eastAsia"/>
          <w:color w:val="000000"/>
          <w:sz w:val="28"/>
          <w:szCs w:val="28"/>
        </w:rPr>
        <w:t>127.42</w:t>
      </w:r>
      <w:r w:rsidRPr="002C5D67">
        <w:rPr>
          <w:rFonts w:hint="eastAsia"/>
          <w:color w:val="000000"/>
          <w:sz w:val="28"/>
          <w:szCs w:val="28"/>
        </w:rPr>
        <w:t>亿元，增长了17.</w:t>
      </w:r>
      <w:r w:rsidR="00D8458C">
        <w:rPr>
          <w:rFonts w:hint="eastAsia"/>
          <w:color w:val="000000"/>
          <w:sz w:val="28"/>
          <w:szCs w:val="28"/>
        </w:rPr>
        <w:t>82</w:t>
      </w:r>
      <w:r w:rsidRPr="002C5D67">
        <w:rPr>
          <w:color w:val="000000"/>
          <w:sz w:val="28"/>
          <w:szCs w:val="28"/>
        </w:rPr>
        <w:t>%</w:t>
      </w:r>
      <w:r w:rsidRPr="002C5D67">
        <w:rPr>
          <w:rFonts w:hint="eastAsia"/>
          <w:color w:val="000000"/>
          <w:sz w:val="28"/>
          <w:szCs w:val="28"/>
        </w:rPr>
        <w:t>，增速</w:t>
      </w:r>
      <w:r w:rsidR="00D8458C">
        <w:rPr>
          <w:rFonts w:hint="eastAsia"/>
          <w:color w:val="000000"/>
          <w:sz w:val="28"/>
          <w:szCs w:val="28"/>
        </w:rPr>
        <w:t>持平</w:t>
      </w:r>
      <w:r w:rsidRPr="002C5D67">
        <w:rPr>
          <w:rFonts w:hint="eastAsia"/>
          <w:color w:val="000000"/>
          <w:sz w:val="28"/>
          <w:szCs w:val="28"/>
        </w:rPr>
        <w:t>（</w:t>
      </w:r>
      <w:r w:rsidR="00C05C9A">
        <w:rPr>
          <w:rFonts w:hint="eastAsia"/>
          <w:color w:val="000000"/>
          <w:sz w:val="28"/>
          <w:szCs w:val="28"/>
        </w:rPr>
        <w:t>2</w:t>
      </w:r>
      <w:r w:rsidR="00C05C9A" w:rsidRPr="002C5D67">
        <w:rPr>
          <w:rFonts w:hint="eastAsia"/>
          <w:color w:val="000000"/>
          <w:sz w:val="28"/>
          <w:szCs w:val="28"/>
        </w:rPr>
        <w:t>01</w:t>
      </w:r>
      <w:r w:rsidR="00D8458C">
        <w:rPr>
          <w:rFonts w:hint="eastAsia"/>
          <w:color w:val="000000"/>
          <w:sz w:val="28"/>
          <w:szCs w:val="28"/>
        </w:rPr>
        <w:t>4</w:t>
      </w:r>
      <w:r w:rsidRPr="002C5D67">
        <w:rPr>
          <w:rFonts w:hint="eastAsia"/>
          <w:color w:val="000000"/>
          <w:sz w:val="28"/>
          <w:szCs w:val="28"/>
        </w:rPr>
        <w:t>年同比增长</w:t>
      </w:r>
      <w:r w:rsidR="00D8458C">
        <w:rPr>
          <w:rFonts w:hint="eastAsia"/>
          <w:color w:val="000000"/>
          <w:sz w:val="28"/>
          <w:szCs w:val="28"/>
        </w:rPr>
        <w:t>17.67</w:t>
      </w:r>
      <w:r w:rsidRPr="002C5D67">
        <w:rPr>
          <w:rFonts w:hint="eastAsia"/>
          <w:color w:val="000000"/>
          <w:sz w:val="28"/>
          <w:szCs w:val="28"/>
        </w:rPr>
        <w:t>%），人均资产总额</w:t>
      </w:r>
      <w:r w:rsidR="00D8458C">
        <w:rPr>
          <w:rFonts w:hint="eastAsia"/>
          <w:color w:val="000000"/>
          <w:sz w:val="28"/>
          <w:szCs w:val="28"/>
        </w:rPr>
        <w:t>251.37</w:t>
      </w:r>
      <w:r w:rsidRPr="002C5D67">
        <w:rPr>
          <w:rFonts w:hint="eastAsia"/>
          <w:color w:val="000000"/>
          <w:sz w:val="28"/>
          <w:szCs w:val="28"/>
        </w:rPr>
        <w:t>万元，较去年同期人均增加了</w:t>
      </w:r>
      <w:r w:rsidR="00D8458C">
        <w:rPr>
          <w:rFonts w:hint="eastAsia"/>
          <w:color w:val="000000"/>
          <w:sz w:val="28"/>
          <w:szCs w:val="28"/>
        </w:rPr>
        <w:t>35.57</w:t>
      </w:r>
      <w:r w:rsidRPr="002C5D67">
        <w:rPr>
          <w:rFonts w:hint="eastAsia"/>
          <w:color w:val="000000"/>
          <w:sz w:val="28"/>
          <w:szCs w:val="28"/>
        </w:rPr>
        <w:t>万元，增长了1</w:t>
      </w:r>
      <w:r w:rsidR="00D8458C">
        <w:rPr>
          <w:rFonts w:hint="eastAsia"/>
          <w:color w:val="000000"/>
          <w:sz w:val="28"/>
          <w:szCs w:val="28"/>
        </w:rPr>
        <w:t>6</w:t>
      </w:r>
      <w:r w:rsidRPr="002C5D67">
        <w:rPr>
          <w:rFonts w:hint="eastAsia"/>
          <w:color w:val="000000"/>
          <w:sz w:val="28"/>
          <w:szCs w:val="28"/>
        </w:rPr>
        <w:t>%,反映了行业企业</w:t>
      </w:r>
      <w:r w:rsidRPr="002C5D67">
        <w:rPr>
          <w:color w:val="000000"/>
          <w:sz w:val="28"/>
          <w:szCs w:val="28"/>
        </w:rPr>
        <w:t>经营规模</w:t>
      </w:r>
      <w:r w:rsidRPr="002C5D67">
        <w:rPr>
          <w:rFonts w:hint="eastAsia"/>
          <w:color w:val="000000"/>
          <w:sz w:val="28"/>
          <w:szCs w:val="28"/>
        </w:rPr>
        <w:t>继续扩张。</w:t>
      </w:r>
    </w:p>
    <w:p w:rsidR="00374A03" w:rsidRPr="002C5D67" w:rsidRDefault="00374A03" w:rsidP="00657F10">
      <w:pPr>
        <w:pStyle w:val="a9"/>
        <w:spacing w:line="360" w:lineRule="auto"/>
        <w:ind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sz w:val="28"/>
          <w:szCs w:val="28"/>
        </w:rPr>
        <w:t>3、新签合同额分析</w:t>
      </w:r>
    </w:p>
    <w:p w:rsidR="00992484" w:rsidRPr="00A10D7D" w:rsidRDefault="00992484" w:rsidP="00D8458C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2C5D67">
        <w:rPr>
          <w:rFonts w:ascii="宋体" w:hAnsi="宋体"/>
          <w:sz w:val="28"/>
          <w:szCs w:val="28"/>
        </w:rPr>
        <w:t>201</w:t>
      </w:r>
      <w:r w:rsidR="00D8458C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年，行业新签合同总额</w:t>
      </w:r>
      <w:r w:rsidR="00D8458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1202.82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亿元，较去年同期增加</w:t>
      </w:r>
      <w:r w:rsidR="00D8458C">
        <w:rPr>
          <w:rFonts w:ascii="宋体" w:hAnsi="宋体" w:hint="eastAsia"/>
          <w:color w:val="000000"/>
          <w:sz w:val="28"/>
          <w:szCs w:val="28"/>
        </w:rPr>
        <w:t>87.94</w:t>
      </w:r>
      <w:r w:rsidRPr="002C5D67">
        <w:rPr>
          <w:rFonts w:ascii="宋体" w:hAnsi="宋体" w:hint="eastAsia"/>
          <w:color w:val="000000"/>
          <w:sz w:val="28"/>
          <w:szCs w:val="28"/>
        </w:rPr>
        <w:t>亿元，增长</w:t>
      </w:r>
      <w:r w:rsidR="00D8458C">
        <w:rPr>
          <w:rFonts w:ascii="宋体" w:hAnsi="宋体" w:hint="eastAsia"/>
          <w:color w:val="000000"/>
          <w:sz w:val="28"/>
          <w:szCs w:val="28"/>
        </w:rPr>
        <w:t>7.89</w:t>
      </w:r>
      <w:r w:rsidRPr="002C5D67">
        <w:rPr>
          <w:rFonts w:ascii="宋体" w:hAnsi="宋体" w:hint="eastAsia"/>
          <w:color w:val="000000"/>
          <w:sz w:val="28"/>
          <w:szCs w:val="28"/>
        </w:rPr>
        <w:t>%，</w:t>
      </w:r>
      <w:r w:rsidR="00D8458C">
        <w:rPr>
          <w:rFonts w:ascii="宋体" w:hAnsi="宋体" w:hint="eastAsia"/>
          <w:color w:val="000000"/>
          <w:sz w:val="28"/>
          <w:szCs w:val="28"/>
        </w:rPr>
        <w:t>增速略高于去年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D8458C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年同期增长速度为</w:t>
      </w:r>
      <w:r w:rsidR="00D8458C">
        <w:rPr>
          <w:rFonts w:ascii="宋体" w:hAnsi="宋体" w:hint="eastAsia"/>
          <w:color w:val="000000"/>
          <w:sz w:val="28"/>
          <w:szCs w:val="28"/>
        </w:rPr>
        <w:t>6.39</w:t>
      </w:r>
      <w:r w:rsidRPr="002C5D67">
        <w:rPr>
          <w:rFonts w:ascii="宋体" w:hAnsi="宋体" w:hint="eastAsia"/>
          <w:color w:val="000000"/>
          <w:sz w:val="28"/>
          <w:szCs w:val="28"/>
        </w:rPr>
        <w:t>%）；人均合同总额</w:t>
      </w:r>
      <w:r w:rsidR="00D8458C">
        <w:rPr>
          <w:rFonts w:ascii="宋体" w:hAnsi="宋体" w:hint="eastAsia"/>
          <w:b/>
          <w:color w:val="000000"/>
          <w:sz w:val="28"/>
          <w:szCs w:val="28"/>
        </w:rPr>
        <w:t>358.95</w:t>
      </w:r>
      <w:r w:rsidRPr="002C5D67">
        <w:rPr>
          <w:rFonts w:ascii="宋体" w:hAnsi="宋体" w:hint="eastAsia"/>
          <w:color w:val="000000"/>
          <w:sz w:val="28"/>
          <w:szCs w:val="28"/>
        </w:rPr>
        <w:t>万元，比去年同期人均增加</w:t>
      </w:r>
      <w:r w:rsidR="00D8458C">
        <w:rPr>
          <w:rFonts w:ascii="宋体" w:hAnsi="宋体" w:hint="eastAsia"/>
          <w:color w:val="000000"/>
          <w:sz w:val="28"/>
          <w:szCs w:val="28"/>
        </w:rPr>
        <w:t>22.42</w:t>
      </w:r>
      <w:r w:rsidRPr="002C5D67">
        <w:rPr>
          <w:rFonts w:ascii="宋体" w:hAnsi="宋体" w:hint="eastAsia"/>
          <w:color w:val="000000"/>
          <w:sz w:val="28"/>
          <w:szCs w:val="28"/>
        </w:rPr>
        <w:t>万元，增长</w:t>
      </w:r>
      <w:r w:rsidR="00D8458C">
        <w:rPr>
          <w:rFonts w:ascii="宋体" w:hAnsi="宋体" w:hint="eastAsia"/>
          <w:color w:val="000000"/>
          <w:sz w:val="28"/>
          <w:szCs w:val="28"/>
        </w:rPr>
        <w:t>7</w:t>
      </w:r>
      <w:r w:rsidRPr="002C5D67">
        <w:rPr>
          <w:rFonts w:ascii="宋体" w:hAnsi="宋体" w:hint="eastAsia"/>
          <w:color w:val="000000"/>
          <w:sz w:val="28"/>
          <w:szCs w:val="28"/>
        </w:rPr>
        <w:t>%</w:t>
      </w:r>
      <w:r w:rsidR="00D8458C">
        <w:rPr>
          <w:rFonts w:ascii="宋体" w:hAnsi="宋体" w:hint="eastAsia"/>
          <w:color w:val="000000"/>
          <w:sz w:val="28"/>
          <w:szCs w:val="28"/>
        </w:rPr>
        <w:t>，增速高于去年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D8458C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年同期增长速度为2%）。其中：总承包合同总额</w:t>
      </w:r>
      <w:r w:rsidR="00D8458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985.88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亿元，较去年同期增长</w:t>
      </w:r>
      <w:r w:rsidR="00D8458C">
        <w:rPr>
          <w:rFonts w:ascii="宋体" w:hAnsi="宋体" w:hint="eastAsia"/>
          <w:color w:val="000000"/>
          <w:sz w:val="28"/>
          <w:szCs w:val="28"/>
        </w:rPr>
        <w:t>12.96</w:t>
      </w:r>
      <w:r w:rsidRPr="002C5D67">
        <w:rPr>
          <w:rFonts w:ascii="宋体" w:hAnsi="宋体" w:hint="eastAsia"/>
          <w:color w:val="000000"/>
          <w:sz w:val="28"/>
          <w:szCs w:val="28"/>
        </w:rPr>
        <w:t>%，增</w:t>
      </w:r>
      <w:r w:rsidR="00D8458C">
        <w:rPr>
          <w:rFonts w:ascii="宋体" w:hAnsi="宋体" w:hint="eastAsia"/>
          <w:color w:val="000000"/>
          <w:sz w:val="28"/>
          <w:szCs w:val="28"/>
        </w:rPr>
        <w:t>速高于去年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D8458C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年同期增长速度为</w:t>
      </w:r>
      <w:r w:rsidR="00D8458C">
        <w:rPr>
          <w:rFonts w:ascii="宋体" w:hAnsi="宋体" w:hint="eastAsia"/>
          <w:color w:val="000000"/>
          <w:sz w:val="28"/>
          <w:szCs w:val="28"/>
        </w:rPr>
        <w:t>6.79</w:t>
      </w:r>
      <w:r w:rsidRPr="002C5D67">
        <w:rPr>
          <w:rFonts w:ascii="宋体" w:hAnsi="宋体" w:hint="eastAsia"/>
          <w:color w:val="000000"/>
          <w:sz w:val="28"/>
          <w:szCs w:val="28"/>
        </w:rPr>
        <w:t>%）；勘测设计及咨询服务合同总额</w:t>
      </w:r>
      <w:r w:rsidR="00D8458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216.94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</w:t>
      </w:r>
      <w:r w:rsidR="001813C3">
        <w:rPr>
          <w:rFonts w:ascii="宋体" w:hAnsi="宋体" w:hint="eastAsia"/>
          <w:color w:val="000000"/>
          <w:sz w:val="28"/>
          <w:szCs w:val="28"/>
        </w:rPr>
        <w:t>减少</w:t>
      </w:r>
      <w:r w:rsidR="00D8458C">
        <w:rPr>
          <w:rFonts w:ascii="宋体" w:hAnsi="宋体" w:hint="eastAsia"/>
          <w:color w:val="000000"/>
          <w:sz w:val="28"/>
          <w:szCs w:val="28"/>
        </w:rPr>
        <w:t>10.4</w:t>
      </w:r>
      <w:r w:rsidR="001813C3">
        <w:rPr>
          <w:rFonts w:ascii="宋体" w:hAnsi="宋体" w:hint="eastAsia"/>
          <w:color w:val="000000"/>
          <w:sz w:val="28"/>
          <w:szCs w:val="28"/>
        </w:rPr>
        <w:t>1</w:t>
      </w:r>
      <w:r w:rsidRPr="002C5D67">
        <w:rPr>
          <w:rFonts w:ascii="宋体" w:hAnsi="宋体"/>
          <w:color w:val="000000"/>
          <w:sz w:val="28"/>
          <w:szCs w:val="28"/>
        </w:rPr>
        <w:t>%</w:t>
      </w:r>
      <w:r w:rsidRPr="002C5D67">
        <w:rPr>
          <w:rFonts w:ascii="宋体" w:hAnsi="宋体" w:hint="eastAsia"/>
          <w:color w:val="000000"/>
          <w:sz w:val="28"/>
          <w:szCs w:val="28"/>
        </w:rPr>
        <w:t>，</w:t>
      </w:r>
      <w:r w:rsidR="00166D90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幅度</w:t>
      </w:r>
      <w:r w:rsidR="001813C3">
        <w:rPr>
          <w:rFonts w:ascii="宋体" w:hAnsi="宋体" w:hint="eastAsia"/>
          <w:color w:val="000000"/>
          <w:sz w:val="28"/>
          <w:szCs w:val="28"/>
        </w:rPr>
        <w:t>较大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D8458C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年同期增长速度为</w:t>
      </w:r>
      <w:r w:rsidR="00D8458C">
        <w:rPr>
          <w:rFonts w:ascii="宋体" w:hAnsi="宋体" w:hint="eastAsia"/>
          <w:color w:val="000000"/>
          <w:sz w:val="28"/>
          <w:szCs w:val="28"/>
        </w:rPr>
        <w:t>5.77</w:t>
      </w:r>
      <w:r w:rsidRPr="00A10D7D">
        <w:rPr>
          <w:rFonts w:ascii="宋体" w:hAnsi="宋体" w:hint="eastAsia"/>
          <w:color w:val="000000"/>
          <w:sz w:val="28"/>
          <w:szCs w:val="28"/>
        </w:rPr>
        <w:t>%）</w:t>
      </w:r>
      <w:r w:rsidRPr="00A10D7D">
        <w:rPr>
          <w:rFonts w:ascii="宋体" w:hAnsi="宋体"/>
          <w:color w:val="000000"/>
          <w:sz w:val="28"/>
          <w:szCs w:val="28"/>
        </w:rPr>
        <w:t>。</w:t>
      </w:r>
    </w:p>
    <w:p w:rsidR="00992484" w:rsidRPr="002C5D67" w:rsidRDefault="00992484" w:rsidP="0099248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A10D7D">
        <w:rPr>
          <w:rFonts w:ascii="宋体" w:hAnsi="宋体" w:hint="eastAsia"/>
          <w:color w:val="000000"/>
          <w:sz w:val="28"/>
          <w:szCs w:val="28"/>
        </w:rPr>
        <w:t>从新签合同总额结构组成比例分析，201</w:t>
      </w:r>
      <w:r w:rsidR="001813C3">
        <w:rPr>
          <w:rFonts w:ascii="宋体" w:hAnsi="宋体" w:hint="eastAsia"/>
          <w:color w:val="000000"/>
          <w:sz w:val="28"/>
          <w:szCs w:val="28"/>
        </w:rPr>
        <w:t>5</w:t>
      </w:r>
      <w:r w:rsidRPr="00A10D7D">
        <w:rPr>
          <w:rFonts w:ascii="宋体" w:hAnsi="宋体" w:hint="eastAsia"/>
          <w:color w:val="000000"/>
          <w:sz w:val="28"/>
          <w:szCs w:val="28"/>
        </w:rPr>
        <w:t>年新签总承包合同额</w:t>
      </w:r>
      <w:r w:rsidR="001813C3">
        <w:rPr>
          <w:rFonts w:ascii="宋体" w:hAnsi="宋体" w:hint="eastAsia"/>
          <w:color w:val="000000"/>
          <w:sz w:val="28"/>
          <w:szCs w:val="28"/>
        </w:rPr>
        <w:t>占比82%，较2014年增加4个百分点；</w:t>
      </w:r>
      <w:r w:rsidRPr="002C5D67">
        <w:rPr>
          <w:rFonts w:ascii="宋体" w:hAnsi="宋体" w:hint="eastAsia"/>
          <w:color w:val="000000"/>
          <w:sz w:val="28"/>
          <w:szCs w:val="28"/>
        </w:rPr>
        <w:t>勘测设计及咨询合同总额占比</w:t>
      </w:r>
      <w:r w:rsidR="001813C3">
        <w:rPr>
          <w:rFonts w:ascii="宋体" w:hAnsi="宋体" w:hint="eastAsia"/>
          <w:color w:val="000000"/>
          <w:sz w:val="28"/>
          <w:szCs w:val="28"/>
        </w:rPr>
        <w:t>18%，较2014年减少了4</w:t>
      </w:r>
      <w:r w:rsidR="00166D90">
        <w:rPr>
          <w:rFonts w:ascii="宋体" w:hAnsi="宋体" w:hint="eastAsia"/>
          <w:color w:val="000000"/>
          <w:sz w:val="28"/>
          <w:szCs w:val="28"/>
        </w:rPr>
        <w:t>个</w:t>
      </w:r>
      <w:r w:rsidR="001813C3">
        <w:rPr>
          <w:rFonts w:ascii="宋体" w:hAnsi="宋体" w:hint="eastAsia"/>
          <w:color w:val="000000"/>
          <w:sz w:val="28"/>
          <w:szCs w:val="28"/>
        </w:rPr>
        <w:t>百分点</w:t>
      </w:r>
      <w:r w:rsidRPr="002C5D67">
        <w:rPr>
          <w:rFonts w:ascii="宋体" w:hAnsi="宋体" w:hint="eastAsia"/>
          <w:color w:val="000000"/>
          <w:sz w:val="28"/>
          <w:szCs w:val="28"/>
        </w:rPr>
        <w:t>。</w:t>
      </w:r>
    </w:p>
    <w:p w:rsidR="00992484" w:rsidRPr="002C5D67" w:rsidRDefault="00992484" w:rsidP="0099248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1813C3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年，新签境外合同额总额</w:t>
      </w:r>
      <w:r w:rsidRPr="002C5D67">
        <w:rPr>
          <w:rFonts w:ascii="宋体" w:hAnsi="宋体" w:hint="eastAsia"/>
          <w:color w:val="000000"/>
          <w:sz w:val="28"/>
          <w:szCs w:val="28"/>
        </w:rPr>
        <w:t>为</w:t>
      </w:r>
      <w:r w:rsidR="001813C3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280.12</w:t>
      </w:r>
      <w:r w:rsidRPr="002C5D67">
        <w:rPr>
          <w:rFonts w:ascii="宋体" w:hAnsi="宋体" w:hint="eastAsia"/>
          <w:color w:val="000000"/>
          <w:sz w:val="28"/>
          <w:szCs w:val="28"/>
        </w:rPr>
        <w:t>亿元</w:t>
      </w:r>
      <w:r w:rsidRPr="002C5D67">
        <w:rPr>
          <w:rFonts w:ascii="宋体" w:hAnsi="宋体" w:hint="eastAsia"/>
          <w:sz w:val="28"/>
          <w:szCs w:val="28"/>
        </w:rPr>
        <w:t>，较去年同期增长</w:t>
      </w:r>
      <w:r w:rsidR="001813C3">
        <w:rPr>
          <w:rFonts w:ascii="宋体" w:hAnsi="宋体" w:hint="eastAsia"/>
          <w:sz w:val="28"/>
          <w:szCs w:val="28"/>
        </w:rPr>
        <w:t>8.56</w:t>
      </w:r>
      <w:r w:rsidRPr="002C5D67">
        <w:rPr>
          <w:rFonts w:ascii="宋体" w:hAnsi="宋体" w:hint="eastAsia"/>
          <w:sz w:val="28"/>
          <w:szCs w:val="28"/>
        </w:rPr>
        <w:t>%，</w:t>
      </w:r>
      <w:r w:rsidR="00166D90">
        <w:rPr>
          <w:rFonts w:ascii="宋体" w:hAnsi="宋体" w:hint="eastAsia"/>
          <w:color w:val="000000"/>
          <w:sz w:val="28"/>
          <w:szCs w:val="28"/>
        </w:rPr>
        <w:t>增幅下降</w:t>
      </w:r>
      <w:r w:rsidR="001813C3">
        <w:rPr>
          <w:rFonts w:ascii="宋体" w:hAnsi="宋体" w:hint="eastAsia"/>
          <w:color w:val="000000"/>
          <w:sz w:val="28"/>
          <w:szCs w:val="28"/>
        </w:rPr>
        <w:t>较大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1813C3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年同期增长速度为</w:t>
      </w:r>
      <w:r w:rsidR="001813C3">
        <w:rPr>
          <w:rFonts w:ascii="宋体" w:hAnsi="宋体" w:hint="eastAsia"/>
          <w:sz w:val="28"/>
          <w:szCs w:val="28"/>
        </w:rPr>
        <w:lastRenderedPageBreak/>
        <w:t>27.28</w:t>
      </w:r>
      <w:r w:rsidRPr="002C5D67">
        <w:rPr>
          <w:rFonts w:ascii="宋体" w:hAnsi="宋体" w:hint="eastAsia"/>
          <w:color w:val="000000"/>
          <w:sz w:val="28"/>
          <w:szCs w:val="28"/>
        </w:rPr>
        <w:t>%）</w:t>
      </w:r>
      <w:r w:rsidRPr="002C5D67">
        <w:rPr>
          <w:rFonts w:ascii="宋体" w:hAnsi="宋体" w:hint="eastAsia"/>
          <w:sz w:val="28"/>
          <w:szCs w:val="28"/>
        </w:rPr>
        <w:t>，其中：境外新签总承包合同</w:t>
      </w:r>
      <w:r w:rsidR="001813C3">
        <w:rPr>
          <w:rFonts w:ascii="宋体" w:hAnsi="宋体" w:hint="eastAsia"/>
          <w:sz w:val="28"/>
          <w:szCs w:val="28"/>
        </w:rPr>
        <w:t>265.25</w:t>
      </w:r>
      <w:r w:rsidRPr="002C5D67">
        <w:rPr>
          <w:rFonts w:ascii="宋体" w:hAnsi="宋体" w:hint="eastAsia"/>
          <w:sz w:val="28"/>
          <w:szCs w:val="28"/>
        </w:rPr>
        <w:t>亿元，较去年同期增长了</w:t>
      </w:r>
      <w:r w:rsidR="001813C3">
        <w:rPr>
          <w:rFonts w:ascii="宋体" w:hAnsi="宋体" w:hint="eastAsia"/>
          <w:sz w:val="28"/>
          <w:szCs w:val="28"/>
        </w:rPr>
        <w:t>9.84</w:t>
      </w:r>
      <w:r w:rsidRPr="002C5D67">
        <w:rPr>
          <w:rFonts w:ascii="宋体" w:hAnsi="宋体" w:hint="eastAsia"/>
          <w:sz w:val="28"/>
          <w:szCs w:val="28"/>
        </w:rPr>
        <w:t>%，</w:t>
      </w:r>
      <w:r w:rsidR="00166D90">
        <w:rPr>
          <w:rFonts w:ascii="宋体" w:hAnsi="宋体" w:hint="eastAsia"/>
          <w:color w:val="000000"/>
          <w:sz w:val="28"/>
          <w:szCs w:val="28"/>
        </w:rPr>
        <w:t>增幅下降</w:t>
      </w:r>
      <w:r w:rsidR="001813C3">
        <w:rPr>
          <w:rFonts w:ascii="宋体" w:hAnsi="宋体" w:hint="eastAsia"/>
          <w:color w:val="000000"/>
          <w:sz w:val="28"/>
          <w:szCs w:val="28"/>
        </w:rPr>
        <w:t>较大</w:t>
      </w:r>
      <w:r w:rsidRPr="002C5D67">
        <w:rPr>
          <w:rFonts w:ascii="宋体" w:hAnsi="宋体" w:hint="eastAsia"/>
          <w:sz w:val="28"/>
          <w:szCs w:val="28"/>
        </w:rPr>
        <w:t>（201</w:t>
      </w:r>
      <w:r w:rsidR="001813C3">
        <w:rPr>
          <w:rFonts w:ascii="宋体" w:hAnsi="宋体" w:hint="eastAsia"/>
          <w:sz w:val="28"/>
          <w:szCs w:val="28"/>
        </w:rPr>
        <w:t>4</w:t>
      </w:r>
      <w:r w:rsidRPr="002C5D67">
        <w:rPr>
          <w:rFonts w:ascii="宋体" w:hAnsi="宋体" w:hint="eastAsia"/>
          <w:sz w:val="28"/>
          <w:szCs w:val="28"/>
        </w:rPr>
        <w:t>年同期增长</w:t>
      </w:r>
      <w:r w:rsidR="001813C3">
        <w:rPr>
          <w:rFonts w:ascii="宋体" w:hAnsi="宋体" w:hint="eastAsia"/>
          <w:sz w:val="28"/>
          <w:szCs w:val="28"/>
        </w:rPr>
        <w:t>34.45</w:t>
      </w:r>
      <w:r w:rsidRPr="002C5D67">
        <w:rPr>
          <w:rFonts w:ascii="宋体" w:hAnsi="宋体" w:hint="eastAsia"/>
          <w:sz w:val="28"/>
          <w:szCs w:val="28"/>
        </w:rPr>
        <w:t>%）；境外勘测设计及咨询合同额</w:t>
      </w:r>
      <w:r w:rsidR="001813C3">
        <w:rPr>
          <w:rFonts w:ascii="宋体" w:hAnsi="宋体" w:hint="eastAsia"/>
          <w:sz w:val="28"/>
          <w:szCs w:val="28"/>
        </w:rPr>
        <w:t>14.87</w:t>
      </w:r>
      <w:r w:rsidRPr="002C5D67">
        <w:rPr>
          <w:rFonts w:ascii="宋体" w:hAnsi="宋体" w:hint="eastAsia"/>
          <w:sz w:val="28"/>
          <w:szCs w:val="28"/>
        </w:rPr>
        <w:t>亿元，较去年同期下降</w:t>
      </w:r>
      <w:r w:rsidR="001813C3">
        <w:rPr>
          <w:rFonts w:ascii="宋体" w:hAnsi="宋体" w:hint="eastAsia"/>
          <w:sz w:val="28"/>
          <w:szCs w:val="28"/>
        </w:rPr>
        <w:t>10.15</w:t>
      </w:r>
      <w:r w:rsidRPr="002C5D67">
        <w:rPr>
          <w:rFonts w:ascii="宋体" w:hAnsi="宋体" w:hint="eastAsia"/>
          <w:sz w:val="28"/>
          <w:szCs w:val="28"/>
        </w:rPr>
        <w:t>%，下降</w:t>
      </w:r>
      <w:r w:rsidRPr="002C5D67">
        <w:rPr>
          <w:rFonts w:ascii="宋体" w:hAnsi="宋体" w:hint="eastAsia"/>
          <w:color w:val="000000"/>
          <w:sz w:val="28"/>
          <w:szCs w:val="28"/>
        </w:rPr>
        <w:t>幅度</w:t>
      </w:r>
      <w:r w:rsidR="001813C3">
        <w:rPr>
          <w:rFonts w:ascii="宋体" w:hAnsi="宋体" w:hint="eastAsia"/>
          <w:color w:val="000000"/>
          <w:sz w:val="28"/>
          <w:szCs w:val="28"/>
        </w:rPr>
        <w:t>收窄</w:t>
      </w:r>
      <w:r w:rsidRPr="002C5D67">
        <w:rPr>
          <w:rFonts w:ascii="宋体" w:hAnsi="宋体" w:hint="eastAsia"/>
          <w:sz w:val="28"/>
          <w:szCs w:val="28"/>
        </w:rPr>
        <w:t>（2013年同期对比下降</w:t>
      </w:r>
      <w:r w:rsidR="001813C3">
        <w:rPr>
          <w:rFonts w:ascii="宋体" w:hAnsi="宋体" w:hint="eastAsia"/>
          <w:sz w:val="28"/>
          <w:szCs w:val="28"/>
        </w:rPr>
        <w:t>28.39</w:t>
      </w:r>
      <w:r w:rsidRPr="002C5D67">
        <w:rPr>
          <w:rFonts w:ascii="宋体" w:hAnsi="宋体" w:hint="eastAsia"/>
          <w:sz w:val="28"/>
          <w:szCs w:val="28"/>
        </w:rPr>
        <w:t>%）。</w:t>
      </w:r>
    </w:p>
    <w:p w:rsidR="00992484" w:rsidRPr="002C5D67" w:rsidRDefault="00992484" w:rsidP="00992484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总体来说，201</w:t>
      </w:r>
      <w:r w:rsidR="001813C3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年新签合同总额</w:t>
      </w:r>
      <w:r w:rsidR="001813C3">
        <w:rPr>
          <w:rFonts w:ascii="宋体" w:hAnsi="宋体" w:hint="eastAsia"/>
          <w:sz w:val="28"/>
          <w:szCs w:val="28"/>
        </w:rPr>
        <w:t>增长速度略有增加</w:t>
      </w:r>
      <w:r w:rsidRPr="002C5D67">
        <w:rPr>
          <w:rFonts w:ascii="宋体" w:hAnsi="宋体" w:hint="eastAsia"/>
          <w:sz w:val="28"/>
          <w:szCs w:val="28"/>
        </w:rPr>
        <w:t>，</w:t>
      </w:r>
      <w:r w:rsidR="00E21E5B">
        <w:rPr>
          <w:rFonts w:ascii="宋体" w:hAnsi="宋体" w:hint="eastAsia"/>
          <w:sz w:val="28"/>
          <w:szCs w:val="28"/>
        </w:rPr>
        <w:t>其中：</w:t>
      </w:r>
      <w:r w:rsidRPr="002C5D67">
        <w:rPr>
          <w:rFonts w:ascii="宋体" w:hAnsi="宋体" w:hint="eastAsia"/>
          <w:sz w:val="28"/>
          <w:szCs w:val="28"/>
        </w:rPr>
        <w:t>新签总承包合同额的增长速度</w:t>
      </w:r>
      <w:r w:rsidR="00E21E5B">
        <w:rPr>
          <w:rFonts w:ascii="宋体" w:hAnsi="宋体" w:hint="eastAsia"/>
          <w:sz w:val="28"/>
          <w:szCs w:val="28"/>
        </w:rPr>
        <w:t>较大，而勘测设计咨询合同额</w:t>
      </w:r>
      <w:r w:rsidR="00166D90">
        <w:rPr>
          <w:rFonts w:ascii="宋体" w:hAnsi="宋体" w:hint="eastAsia"/>
          <w:sz w:val="28"/>
          <w:szCs w:val="28"/>
        </w:rPr>
        <w:t>减幅</w:t>
      </w:r>
      <w:r w:rsidR="00E21E5B">
        <w:rPr>
          <w:rFonts w:ascii="宋体" w:hAnsi="宋体" w:hint="eastAsia"/>
          <w:sz w:val="28"/>
          <w:szCs w:val="28"/>
        </w:rPr>
        <w:t>较大</w:t>
      </w:r>
      <w:r w:rsidRPr="002C5D67">
        <w:rPr>
          <w:rFonts w:ascii="宋体" w:hAnsi="宋体" w:hint="eastAsia"/>
          <w:sz w:val="28"/>
          <w:szCs w:val="28"/>
        </w:rPr>
        <w:t>。境外新签合同总额</w:t>
      </w:r>
      <w:r w:rsidR="00166D90">
        <w:rPr>
          <w:rFonts w:ascii="宋体" w:hAnsi="宋体" w:hint="eastAsia"/>
          <w:sz w:val="28"/>
          <w:szCs w:val="28"/>
        </w:rPr>
        <w:t>增长</w:t>
      </w:r>
      <w:r w:rsidR="00E21E5B">
        <w:rPr>
          <w:rFonts w:ascii="宋体" w:hAnsi="宋体" w:hint="eastAsia"/>
          <w:sz w:val="28"/>
          <w:szCs w:val="28"/>
        </w:rPr>
        <w:t>趋势与新签合同总额</w:t>
      </w:r>
      <w:r w:rsidR="00166D90">
        <w:rPr>
          <w:rFonts w:ascii="宋体" w:hAnsi="宋体" w:hint="eastAsia"/>
          <w:sz w:val="28"/>
          <w:szCs w:val="28"/>
        </w:rPr>
        <w:t>增长</w:t>
      </w:r>
      <w:r w:rsidR="00E21E5B">
        <w:rPr>
          <w:rFonts w:ascii="宋体" w:hAnsi="宋体" w:hint="eastAsia"/>
          <w:sz w:val="28"/>
          <w:szCs w:val="28"/>
        </w:rPr>
        <w:t>趋势相同。</w:t>
      </w:r>
      <w:r w:rsidRPr="002C5D67">
        <w:rPr>
          <w:rFonts w:ascii="宋体" w:hAnsi="宋体" w:hint="eastAsia"/>
          <w:sz w:val="28"/>
          <w:szCs w:val="28"/>
        </w:rPr>
        <w:t>表明整个行业境内外市场环境严峻，市场竞争</w:t>
      </w:r>
      <w:r w:rsidR="008F5905">
        <w:rPr>
          <w:rFonts w:ascii="宋体" w:hAnsi="宋体" w:hint="eastAsia"/>
          <w:sz w:val="28"/>
          <w:szCs w:val="28"/>
        </w:rPr>
        <w:t>更加</w:t>
      </w:r>
      <w:r w:rsidRPr="002C5D67">
        <w:rPr>
          <w:rFonts w:ascii="宋体" w:hAnsi="宋体" w:hint="eastAsia"/>
          <w:sz w:val="28"/>
          <w:szCs w:val="28"/>
        </w:rPr>
        <w:t>激烈。</w:t>
      </w:r>
    </w:p>
    <w:p w:rsidR="00374A03" w:rsidRPr="002C5D67" w:rsidRDefault="00374A03" w:rsidP="00657F10">
      <w:pPr>
        <w:pStyle w:val="a9"/>
        <w:spacing w:line="360" w:lineRule="auto"/>
        <w:ind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sz w:val="28"/>
          <w:szCs w:val="28"/>
        </w:rPr>
        <w:t>4、完成产值分析</w:t>
      </w:r>
    </w:p>
    <w:p w:rsidR="00374A03" w:rsidRPr="002C5D67" w:rsidRDefault="00992484" w:rsidP="00992484">
      <w:pPr>
        <w:pStyle w:val="a9"/>
        <w:spacing w:line="360" w:lineRule="auto"/>
        <w:ind w:firstLineChars="196" w:firstLine="549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hint="eastAsia"/>
          <w:sz w:val="28"/>
          <w:szCs w:val="28"/>
        </w:rPr>
        <w:t>201</w:t>
      </w:r>
      <w:r w:rsidR="00BA41BE">
        <w:rPr>
          <w:rFonts w:hint="eastAsia"/>
          <w:sz w:val="28"/>
          <w:szCs w:val="28"/>
        </w:rPr>
        <w:t>5</w:t>
      </w:r>
      <w:r w:rsidRPr="002C5D67">
        <w:rPr>
          <w:rFonts w:hint="eastAsia"/>
          <w:sz w:val="28"/>
          <w:szCs w:val="28"/>
        </w:rPr>
        <w:t>年，行业完成产值总额</w:t>
      </w:r>
      <w:r w:rsidR="00BA41BE" w:rsidRPr="00BA41BE">
        <w:rPr>
          <w:rFonts w:hint="eastAsia"/>
          <w:b/>
          <w:color w:val="000000"/>
          <w:sz w:val="28"/>
          <w:szCs w:val="28"/>
        </w:rPr>
        <w:t>245.3</w:t>
      </w:r>
      <w:r w:rsidRPr="002C5D67">
        <w:rPr>
          <w:rFonts w:hint="eastAsia"/>
          <w:color w:val="000000"/>
          <w:sz w:val="28"/>
          <w:szCs w:val="28"/>
        </w:rPr>
        <w:t>亿元</w:t>
      </w:r>
      <w:r w:rsidRPr="002C5D67">
        <w:rPr>
          <w:rFonts w:hint="eastAsia"/>
          <w:sz w:val="28"/>
          <w:szCs w:val="28"/>
        </w:rPr>
        <w:t>，较去年同期</w:t>
      </w:r>
      <w:r w:rsidR="00BA41BE">
        <w:rPr>
          <w:rFonts w:hint="eastAsia"/>
          <w:sz w:val="28"/>
          <w:szCs w:val="28"/>
        </w:rPr>
        <w:t>增加2.21</w:t>
      </w:r>
      <w:r w:rsidRPr="002C5D67">
        <w:rPr>
          <w:rFonts w:hint="eastAsia"/>
          <w:sz w:val="28"/>
          <w:szCs w:val="28"/>
        </w:rPr>
        <w:t>亿元，</w:t>
      </w:r>
      <w:r w:rsidR="00166D90">
        <w:rPr>
          <w:rFonts w:hint="eastAsia"/>
          <w:sz w:val="28"/>
          <w:szCs w:val="28"/>
        </w:rPr>
        <w:t>增长</w:t>
      </w:r>
      <w:r w:rsidR="00BA41BE">
        <w:rPr>
          <w:rFonts w:hint="eastAsia"/>
          <w:sz w:val="28"/>
          <w:szCs w:val="28"/>
        </w:rPr>
        <w:t>0.91</w:t>
      </w:r>
      <w:r w:rsidRPr="002C5D67">
        <w:rPr>
          <w:sz w:val="28"/>
          <w:szCs w:val="28"/>
        </w:rPr>
        <w:t>%</w:t>
      </w:r>
      <w:r w:rsidRPr="002C5D67">
        <w:rPr>
          <w:rFonts w:hint="eastAsia"/>
          <w:sz w:val="28"/>
          <w:szCs w:val="28"/>
        </w:rPr>
        <w:t>（201</w:t>
      </w:r>
      <w:r w:rsidR="00BA41BE">
        <w:rPr>
          <w:rFonts w:hint="eastAsia"/>
          <w:sz w:val="28"/>
          <w:szCs w:val="28"/>
        </w:rPr>
        <w:t>4</w:t>
      </w:r>
      <w:r w:rsidRPr="002C5D67">
        <w:rPr>
          <w:rFonts w:hint="eastAsia"/>
          <w:sz w:val="28"/>
          <w:szCs w:val="28"/>
        </w:rPr>
        <w:t>年同期比</w:t>
      </w:r>
      <w:r w:rsidR="00BA41BE">
        <w:rPr>
          <w:rFonts w:hint="eastAsia"/>
          <w:sz w:val="28"/>
          <w:szCs w:val="28"/>
        </w:rPr>
        <w:t>减少6.51</w:t>
      </w:r>
      <w:r w:rsidRPr="002C5D67">
        <w:rPr>
          <w:rFonts w:hint="eastAsia"/>
          <w:sz w:val="28"/>
          <w:szCs w:val="28"/>
        </w:rPr>
        <w:t>%）；人均完成产值</w:t>
      </w:r>
      <w:r w:rsidR="00672876">
        <w:rPr>
          <w:rFonts w:hint="eastAsia"/>
          <w:sz w:val="28"/>
          <w:szCs w:val="28"/>
        </w:rPr>
        <w:t>73.</w:t>
      </w:r>
      <w:r w:rsidR="00BA41BE">
        <w:rPr>
          <w:rFonts w:hint="eastAsia"/>
          <w:sz w:val="28"/>
          <w:szCs w:val="28"/>
        </w:rPr>
        <w:t>2</w:t>
      </w:r>
      <w:r w:rsidRPr="002C5D67">
        <w:rPr>
          <w:rFonts w:hint="eastAsia"/>
          <w:sz w:val="28"/>
          <w:szCs w:val="28"/>
        </w:rPr>
        <w:t>万元，较去年人均</w:t>
      </w:r>
      <w:r w:rsidR="00BA41BE">
        <w:rPr>
          <w:rFonts w:hint="eastAsia"/>
          <w:sz w:val="28"/>
          <w:szCs w:val="28"/>
        </w:rPr>
        <w:t>基本持平</w:t>
      </w:r>
      <w:r w:rsidRPr="002C5D67">
        <w:rPr>
          <w:rFonts w:hint="eastAsia"/>
          <w:sz w:val="28"/>
          <w:szCs w:val="28"/>
        </w:rPr>
        <w:t>。其中勘测设计及咨询服务产值</w:t>
      </w:r>
      <w:r w:rsidR="00BA41BE">
        <w:rPr>
          <w:rFonts w:hint="eastAsia"/>
          <w:sz w:val="28"/>
          <w:szCs w:val="28"/>
        </w:rPr>
        <w:t>225.08</w:t>
      </w:r>
      <w:r w:rsidRPr="002C5D67">
        <w:rPr>
          <w:rFonts w:hint="eastAsia"/>
          <w:sz w:val="28"/>
          <w:szCs w:val="28"/>
        </w:rPr>
        <w:t>亿元，较去年同期</w:t>
      </w:r>
      <w:r w:rsidR="00BA41BE">
        <w:rPr>
          <w:rFonts w:hint="eastAsia"/>
          <w:sz w:val="28"/>
          <w:szCs w:val="28"/>
        </w:rPr>
        <w:t>增加1.14</w:t>
      </w:r>
      <w:r w:rsidRPr="002C5D67">
        <w:rPr>
          <w:rFonts w:hint="eastAsia"/>
          <w:sz w:val="28"/>
          <w:szCs w:val="28"/>
        </w:rPr>
        <w:t>亿元，</w:t>
      </w:r>
      <w:r w:rsidR="00166D90">
        <w:rPr>
          <w:rFonts w:hint="eastAsia"/>
          <w:sz w:val="28"/>
          <w:szCs w:val="28"/>
        </w:rPr>
        <w:t>增长</w:t>
      </w:r>
      <w:r w:rsidR="002524EA">
        <w:rPr>
          <w:rFonts w:hint="eastAsia"/>
          <w:sz w:val="28"/>
          <w:szCs w:val="28"/>
        </w:rPr>
        <w:t>0.51</w:t>
      </w:r>
      <w:r w:rsidRPr="002C5D67">
        <w:rPr>
          <w:rFonts w:hint="eastAsia"/>
          <w:sz w:val="28"/>
          <w:szCs w:val="28"/>
        </w:rPr>
        <w:t>%。完成产值</w:t>
      </w:r>
      <w:r w:rsidR="002524EA">
        <w:rPr>
          <w:rFonts w:hint="eastAsia"/>
          <w:sz w:val="28"/>
          <w:szCs w:val="28"/>
        </w:rPr>
        <w:t>基本持平</w:t>
      </w:r>
      <w:r w:rsidRPr="002C5D67">
        <w:rPr>
          <w:rFonts w:hint="eastAsia"/>
          <w:sz w:val="28"/>
          <w:szCs w:val="28"/>
        </w:rPr>
        <w:t>，</w:t>
      </w:r>
      <w:r w:rsidR="002524EA">
        <w:rPr>
          <w:rFonts w:hint="eastAsia"/>
          <w:sz w:val="28"/>
          <w:szCs w:val="28"/>
        </w:rPr>
        <w:t>与</w:t>
      </w:r>
      <w:r w:rsidRPr="002C5D67">
        <w:rPr>
          <w:rFonts w:hint="eastAsia"/>
          <w:sz w:val="28"/>
          <w:szCs w:val="28"/>
        </w:rPr>
        <w:t>业务合同量</w:t>
      </w:r>
      <w:r w:rsidR="002524EA">
        <w:rPr>
          <w:rFonts w:hint="eastAsia"/>
          <w:sz w:val="28"/>
          <w:szCs w:val="28"/>
        </w:rPr>
        <w:t>趋势相同</w:t>
      </w:r>
      <w:r w:rsidRPr="002C5D67">
        <w:rPr>
          <w:rFonts w:hint="eastAsia"/>
          <w:sz w:val="28"/>
          <w:szCs w:val="28"/>
        </w:rPr>
        <w:t>。</w:t>
      </w:r>
    </w:p>
    <w:p w:rsidR="00374A03" w:rsidRPr="002C5D67" w:rsidRDefault="00374A03" w:rsidP="00657F10">
      <w:pPr>
        <w:pStyle w:val="a9"/>
        <w:spacing w:line="360" w:lineRule="auto"/>
        <w:ind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b/>
          <w:sz w:val="28"/>
          <w:szCs w:val="28"/>
        </w:rPr>
        <w:t>5、财务指标分析</w:t>
      </w:r>
    </w:p>
    <w:p w:rsidR="00374A03" w:rsidRPr="002C5D67" w:rsidRDefault="00374A03" w:rsidP="00374A03">
      <w:pPr>
        <w:pStyle w:val="a9"/>
        <w:spacing w:line="360" w:lineRule="auto"/>
        <w:ind w:firstLine="40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sz w:val="28"/>
          <w:szCs w:val="28"/>
        </w:rPr>
        <w:t>（1）营业收入分析</w:t>
      </w:r>
    </w:p>
    <w:p w:rsidR="00992484" w:rsidRPr="002C5D67" w:rsidRDefault="00992484" w:rsidP="00992484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2C5D67">
        <w:rPr>
          <w:rFonts w:ascii="宋体" w:hAnsi="宋体" w:hint="eastAsia"/>
          <w:color w:val="000000"/>
          <w:sz w:val="28"/>
          <w:szCs w:val="28"/>
        </w:rPr>
        <w:t>201</w:t>
      </w:r>
      <w:r w:rsidR="002524EA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年，行业实现营业收入</w:t>
      </w:r>
      <w:r w:rsidR="002524EA" w:rsidRPr="002524EA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719.03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亿元，较去年同期增加</w:t>
      </w:r>
      <w:r w:rsidR="002524EA">
        <w:rPr>
          <w:rFonts w:ascii="宋体" w:hAnsi="宋体" w:hint="eastAsia"/>
          <w:color w:val="000000"/>
          <w:sz w:val="28"/>
          <w:szCs w:val="28"/>
        </w:rPr>
        <w:t>89.58</w:t>
      </w:r>
      <w:r w:rsidRPr="002C5D67">
        <w:rPr>
          <w:rFonts w:ascii="宋体" w:hAnsi="宋体" w:hint="eastAsia"/>
          <w:color w:val="000000"/>
          <w:sz w:val="28"/>
          <w:szCs w:val="28"/>
        </w:rPr>
        <w:t>亿元，增长</w:t>
      </w:r>
      <w:r w:rsidR="002524EA">
        <w:rPr>
          <w:rFonts w:ascii="宋体" w:hAnsi="宋体" w:hint="eastAsia"/>
          <w:color w:val="000000"/>
          <w:sz w:val="28"/>
          <w:szCs w:val="28"/>
        </w:rPr>
        <w:t>14.23</w:t>
      </w:r>
      <w:r w:rsidRPr="002C5D67">
        <w:rPr>
          <w:rFonts w:ascii="宋体" w:hAnsi="宋体" w:hint="eastAsia"/>
          <w:color w:val="000000"/>
          <w:sz w:val="28"/>
          <w:szCs w:val="28"/>
        </w:rPr>
        <w:t>%，增速下降（201</w:t>
      </w:r>
      <w:r w:rsidR="002524EA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年同比</w:t>
      </w:r>
      <w:r w:rsidR="00166D90" w:rsidRPr="002C5D67">
        <w:rPr>
          <w:rFonts w:ascii="宋体" w:hAnsi="宋体" w:hint="eastAsia"/>
          <w:color w:val="000000"/>
          <w:sz w:val="28"/>
          <w:szCs w:val="28"/>
        </w:rPr>
        <w:lastRenderedPageBreak/>
        <w:t>增</w:t>
      </w:r>
      <w:r w:rsidR="00166D90">
        <w:rPr>
          <w:rFonts w:ascii="宋体" w:hAnsi="宋体" w:hint="eastAsia"/>
          <w:color w:val="000000"/>
          <w:sz w:val="28"/>
          <w:szCs w:val="28"/>
        </w:rPr>
        <w:t>长</w:t>
      </w:r>
      <w:r w:rsidR="002524EA">
        <w:rPr>
          <w:rFonts w:ascii="宋体" w:hAnsi="宋体" w:hint="eastAsia"/>
          <w:color w:val="000000"/>
          <w:sz w:val="28"/>
          <w:szCs w:val="28"/>
        </w:rPr>
        <w:t>19.41</w:t>
      </w:r>
      <w:r w:rsidRPr="002C5D67">
        <w:rPr>
          <w:rFonts w:ascii="宋体" w:hAnsi="宋体" w:hint="eastAsia"/>
          <w:color w:val="000000"/>
          <w:sz w:val="28"/>
          <w:szCs w:val="28"/>
        </w:rPr>
        <w:t>%），人均收入</w:t>
      </w:r>
      <w:r w:rsidR="002524EA">
        <w:rPr>
          <w:rFonts w:ascii="宋体" w:hAnsi="宋体" w:hint="eastAsia"/>
          <w:color w:val="000000"/>
          <w:sz w:val="28"/>
          <w:szCs w:val="28"/>
        </w:rPr>
        <w:t>214.58</w:t>
      </w:r>
      <w:r w:rsidRPr="002C5D67">
        <w:rPr>
          <w:rFonts w:ascii="宋体" w:hAnsi="宋体" w:hint="eastAsia"/>
          <w:color w:val="000000"/>
          <w:sz w:val="28"/>
          <w:szCs w:val="28"/>
        </w:rPr>
        <w:t>万元，较去年增长</w:t>
      </w:r>
      <w:r w:rsidR="00093D6E">
        <w:rPr>
          <w:rFonts w:ascii="宋体" w:hAnsi="宋体" w:hint="eastAsia"/>
          <w:color w:val="000000"/>
          <w:sz w:val="28"/>
          <w:szCs w:val="28"/>
        </w:rPr>
        <w:t>1</w:t>
      </w:r>
      <w:r w:rsidR="002524EA">
        <w:rPr>
          <w:rFonts w:ascii="宋体" w:hAnsi="宋体" w:hint="eastAsia"/>
          <w:color w:val="000000"/>
          <w:sz w:val="28"/>
          <w:szCs w:val="28"/>
        </w:rPr>
        <w:t>3</w:t>
      </w:r>
      <w:r w:rsidRPr="002C5D67">
        <w:rPr>
          <w:rFonts w:ascii="宋体" w:hAnsi="宋体" w:hint="eastAsia"/>
          <w:color w:val="000000"/>
          <w:sz w:val="28"/>
          <w:szCs w:val="28"/>
        </w:rPr>
        <w:t>%。其中：总承包收入</w:t>
      </w:r>
      <w:r w:rsidR="002524EA">
        <w:rPr>
          <w:rFonts w:ascii="宋体" w:hAnsi="宋体" w:cs="宋体" w:hint="eastAsia"/>
          <w:color w:val="000000"/>
          <w:kern w:val="0"/>
          <w:sz w:val="28"/>
          <w:szCs w:val="28"/>
        </w:rPr>
        <w:t>495.66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亿元，较去年同期增长</w:t>
      </w:r>
      <w:r w:rsidR="002524EA">
        <w:rPr>
          <w:rFonts w:ascii="宋体" w:hAnsi="宋体" w:hint="eastAsia"/>
          <w:color w:val="000000"/>
          <w:sz w:val="28"/>
          <w:szCs w:val="28"/>
        </w:rPr>
        <w:t>20.84</w:t>
      </w:r>
      <w:r w:rsidRPr="002C5D67">
        <w:rPr>
          <w:rFonts w:ascii="宋体" w:hAnsi="宋体" w:hint="eastAsia"/>
          <w:color w:val="000000"/>
          <w:sz w:val="28"/>
          <w:szCs w:val="28"/>
        </w:rPr>
        <w:t>%，增速下降（201</w:t>
      </w:r>
      <w:r w:rsidR="002524EA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年同比增长</w:t>
      </w:r>
      <w:r w:rsidR="002524EA">
        <w:rPr>
          <w:rFonts w:ascii="宋体" w:hAnsi="宋体" w:hint="eastAsia"/>
          <w:color w:val="000000"/>
          <w:sz w:val="28"/>
          <w:szCs w:val="28"/>
        </w:rPr>
        <w:t>35.57</w:t>
      </w:r>
      <w:r w:rsidRPr="002C5D67">
        <w:rPr>
          <w:rFonts w:ascii="宋体" w:hAnsi="宋体" w:hint="eastAsia"/>
          <w:color w:val="000000"/>
          <w:sz w:val="28"/>
          <w:szCs w:val="28"/>
        </w:rPr>
        <w:t>%），其收入占营业总收入的6</w:t>
      </w:r>
      <w:r w:rsidR="002524EA">
        <w:rPr>
          <w:rFonts w:ascii="宋体" w:hAnsi="宋体" w:hint="eastAsia"/>
          <w:color w:val="000000"/>
          <w:sz w:val="28"/>
          <w:szCs w:val="28"/>
        </w:rPr>
        <w:t>9</w:t>
      </w:r>
      <w:r w:rsidRPr="002C5D67">
        <w:rPr>
          <w:rFonts w:ascii="宋体" w:hAnsi="宋体" w:hint="eastAsia"/>
          <w:color w:val="000000"/>
          <w:sz w:val="28"/>
          <w:szCs w:val="28"/>
        </w:rPr>
        <w:t>%，占比较去年同期增加</w:t>
      </w:r>
      <w:r w:rsidR="002524EA">
        <w:rPr>
          <w:rFonts w:ascii="宋体" w:hAnsi="宋体" w:hint="eastAsia"/>
          <w:color w:val="000000"/>
          <w:sz w:val="28"/>
          <w:szCs w:val="28"/>
        </w:rPr>
        <w:t>约4</w:t>
      </w:r>
      <w:r w:rsidRPr="002C5D67">
        <w:rPr>
          <w:rFonts w:ascii="宋体" w:hAnsi="宋体" w:hint="eastAsia"/>
          <w:color w:val="000000"/>
          <w:sz w:val="28"/>
          <w:szCs w:val="28"/>
        </w:rPr>
        <w:t>个百分点；勘测设计及咨询收入</w:t>
      </w:r>
      <w:r w:rsidR="002524EA">
        <w:rPr>
          <w:rFonts w:ascii="宋体" w:hAnsi="宋体" w:cs="宋体" w:hint="eastAsia"/>
          <w:color w:val="000000"/>
          <w:kern w:val="0"/>
          <w:sz w:val="28"/>
          <w:szCs w:val="28"/>
        </w:rPr>
        <w:t>223.37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亿元，较去年仅增长</w:t>
      </w:r>
      <w:r w:rsidR="002524EA">
        <w:rPr>
          <w:rFonts w:ascii="宋体" w:hAnsi="宋体" w:hint="eastAsia"/>
          <w:color w:val="000000"/>
          <w:sz w:val="28"/>
          <w:szCs w:val="28"/>
        </w:rPr>
        <w:t>1.87</w:t>
      </w:r>
      <w:r w:rsidRPr="002C5D67">
        <w:rPr>
          <w:rFonts w:ascii="宋体" w:hAnsi="宋体"/>
          <w:color w:val="000000"/>
          <w:sz w:val="28"/>
          <w:szCs w:val="28"/>
        </w:rPr>
        <w:t>%</w:t>
      </w:r>
      <w:r w:rsidRPr="002C5D67">
        <w:rPr>
          <w:rFonts w:ascii="宋体" w:hAnsi="宋体" w:hint="eastAsia"/>
          <w:color w:val="000000"/>
          <w:sz w:val="28"/>
          <w:szCs w:val="28"/>
        </w:rPr>
        <w:t>，增速</w:t>
      </w:r>
      <w:r w:rsidR="002524EA">
        <w:rPr>
          <w:rFonts w:ascii="宋体" w:hAnsi="宋体" w:hint="eastAsia"/>
          <w:color w:val="000000"/>
          <w:sz w:val="28"/>
          <w:szCs w:val="28"/>
        </w:rPr>
        <w:t>略有增加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2524EA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年同比</w:t>
      </w:r>
      <w:r w:rsidR="00166D90" w:rsidRPr="002C5D67">
        <w:rPr>
          <w:rFonts w:ascii="宋体" w:hAnsi="宋体" w:hint="eastAsia"/>
          <w:color w:val="000000"/>
          <w:sz w:val="28"/>
          <w:szCs w:val="28"/>
        </w:rPr>
        <w:t>增</w:t>
      </w:r>
      <w:r w:rsidR="00166D90">
        <w:rPr>
          <w:rFonts w:ascii="宋体" w:hAnsi="宋体" w:hint="eastAsia"/>
          <w:color w:val="000000"/>
          <w:sz w:val="28"/>
          <w:szCs w:val="28"/>
        </w:rPr>
        <w:t>长</w:t>
      </w:r>
      <w:r w:rsidR="002524EA">
        <w:rPr>
          <w:rFonts w:ascii="宋体" w:hAnsi="宋体" w:hint="eastAsia"/>
          <w:color w:val="000000"/>
          <w:sz w:val="28"/>
          <w:szCs w:val="28"/>
        </w:rPr>
        <w:t>0.13</w:t>
      </w:r>
      <w:r w:rsidRPr="002C5D67">
        <w:rPr>
          <w:rFonts w:ascii="宋体" w:hAnsi="宋体" w:hint="eastAsia"/>
          <w:color w:val="000000"/>
          <w:sz w:val="28"/>
          <w:szCs w:val="28"/>
        </w:rPr>
        <w:t>%），其收入占营业总收入的3</w:t>
      </w:r>
      <w:r w:rsidR="002524EA">
        <w:rPr>
          <w:rFonts w:ascii="宋体" w:hAnsi="宋体" w:hint="eastAsia"/>
          <w:color w:val="000000"/>
          <w:sz w:val="28"/>
          <w:szCs w:val="28"/>
        </w:rPr>
        <w:t>1</w:t>
      </w:r>
      <w:r w:rsidRPr="002C5D67">
        <w:rPr>
          <w:rFonts w:ascii="宋体" w:hAnsi="宋体" w:hint="eastAsia"/>
          <w:color w:val="000000"/>
          <w:sz w:val="28"/>
          <w:szCs w:val="28"/>
        </w:rPr>
        <w:t>%，占比较去年同期减少</w:t>
      </w:r>
      <w:r w:rsidR="00E3013D">
        <w:rPr>
          <w:rFonts w:ascii="宋体" w:hAnsi="宋体" w:hint="eastAsia"/>
          <w:color w:val="000000"/>
          <w:sz w:val="28"/>
          <w:szCs w:val="28"/>
        </w:rPr>
        <w:t>约4</w:t>
      </w:r>
      <w:r w:rsidRPr="002C5D67">
        <w:rPr>
          <w:rFonts w:ascii="宋体" w:hAnsi="宋体" w:hint="eastAsia"/>
          <w:color w:val="000000"/>
          <w:sz w:val="28"/>
          <w:szCs w:val="28"/>
        </w:rPr>
        <w:t>个百分点</w:t>
      </w:r>
      <w:r w:rsidRPr="002C5D67">
        <w:rPr>
          <w:rFonts w:ascii="宋体" w:hAnsi="宋体"/>
          <w:color w:val="000000"/>
          <w:sz w:val="28"/>
          <w:szCs w:val="28"/>
        </w:rPr>
        <w:t>。</w:t>
      </w:r>
      <w:r w:rsidRPr="002C5D67">
        <w:rPr>
          <w:rFonts w:ascii="宋体" w:hAnsi="宋体" w:hint="eastAsia"/>
          <w:color w:val="000000"/>
          <w:sz w:val="28"/>
          <w:szCs w:val="28"/>
        </w:rPr>
        <w:t>201</w:t>
      </w:r>
      <w:r w:rsidR="00E3013D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年，行业营业收入的增长，主要受总承包收入增长的影响。</w:t>
      </w:r>
    </w:p>
    <w:p w:rsidR="00992484" w:rsidRPr="002C5D67" w:rsidRDefault="00992484" w:rsidP="00992484">
      <w:pPr>
        <w:spacing w:line="36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 w:rsidRPr="002C5D67">
        <w:rPr>
          <w:rFonts w:ascii="宋体" w:hAnsi="宋体" w:hint="eastAsia"/>
          <w:color w:val="000000"/>
          <w:sz w:val="28"/>
          <w:szCs w:val="28"/>
        </w:rPr>
        <w:t>201</w:t>
      </w:r>
      <w:r w:rsidR="00E3013D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年，行业境外收入</w:t>
      </w:r>
      <w:r w:rsidR="00E3013D" w:rsidRPr="00E3013D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29.61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</w:t>
      </w:r>
      <w:r w:rsidR="00E3013D">
        <w:rPr>
          <w:rFonts w:ascii="宋体" w:hAnsi="宋体" w:hint="eastAsia"/>
          <w:color w:val="000000"/>
          <w:sz w:val="28"/>
          <w:szCs w:val="28"/>
        </w:rPr>
        <w:t>减少0.8</w:t>
      </w:r>
      <w:r w:rsidRPr="002C5D67">
        <w:rPr>
          <w:rFonts w:ascii="宋体" w:hAnsi="宋体" w:hint="eastAsia"/>
          <w:color w:val="000000"/>
          <w:sz w:val="28"/>
          <w:szCs w:val="28"/>
        </w:rPr>
        <w:t>亿元，</w:t>
      </w:r>
      <w:r w:rsidR="00E3013D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了</w:t>
      </w:r>
      <w:r w:rsidR="00E3013D">
        <w:rPr>
          <w:rFonts w:ascii="宋体" w:hAnsi="宋体" w:hint="eastAsia"/>
          <w:color w:val="000000"/>
          <w:sz w:val="28"/>
          <w:szCs w:val="28"/>
        </w:rPr>
        <w:t>2.6</w:t>
      </w:r>
      <w:r w:rsidRPr="002C5D67">
        <w:rPr>
          <w:rFonts w:ascii="宋体" w:hAnsi="宋体"/>
          <w:color w:val="000000"/>
          <w:sz w:val="28"/>
          <w:szCs w:val="28"/>
        </w:rPr>
        <w:t>%</w:t>
      </w:r>
      <w:r w:rsidRPr="002C5D67">
        <w:rPr>
          <w:rFonts w:ascii="宋体" w:hAnsi="宋体" w:hint="eastAsia"/>
          <w:color w:val="000000"/>
          <w:sz w:val="28"/>
          <w:szCs w:val="28"/>
        </w:rPr>
        <w:t>；人均</w:t>
      </w:r>
      <w:r w:rsidR="00E3013D">
        <w:rPr>
          <w:rFonts w:ascii="宋体" w:hAnsi="宋体" w:hint="eastAsia"/>
          <w:color w:val="000000"/>
          <w:sz w:val="28"/>
          <w:szCs w:val="28"/>
        </w:rPr>
        <w:t>境外</w:t>
      </w:r>
      <w:r w:rsidRPr="002C5D67">
        <w:rPr>
          <w:rFonts w:ascii="宋体" w:hAnsi="宋体" w:hint="eastAsia"/>
          <w:color w:val="000000"/>
          <w:sz w:val="28"/>
          <w:szCs w:val="28"/>
        </w:rPr>
        <w:t>收入</w:t>
      </w:r>
      <w:r w:rsidR="00E3013D">
        <w:rPr>
          <w:rFonts w:ascii="宋体" w:hAnsi="宋体" w:hint="eastAsia"/>
          <w:color w:val="000000"/>
          <w:sz w:val="28"/>
          <w:szCs w:val="28"/>
        </w:rPr>
        <w:t>8.84</w:t>
      </w:r>
      <w:r w:rsidRPr="002C5D67">
        <w:rPr>
          <w:rFonts w:ascii="宋体" w:hAnsi="宋体" w:hint="eastAsia"/>
          <w:color w:val="000000"/>
          <w:sz w:val="28"/>
          <w:szCs w:val="28"/>
        </w:rPr>
        <w:t>万元，较去年同期</w:t>
      </w:r>
      <w:r w:rsidR="00E3013D">
        <w:rPr>
          <w:rFonts w:ascii="宋体" w:hAnsi="宋体" w:hint="eastAsia"/>
          <w:color w:val="000000"/>
          <w:sz w:val="28"/>
          <w:szCs w:val="28"/>
        </w:rPr>
        <w:t>减少0.34</w:t>
      </w:r>
      <w:r w:rsidRPr="002C5D67">
        <w:rPr>
          <w:rFonts w:ascii="宋体" w:hAnsi="宋体" w:hint="eastAsia"/>
          <w:color w:val="000000"/>
          <w:sz w:val="28"/>
          <w:szCs w:val="28"/>
        </w:rPr>
        <w:t>万元，</w:t>
      </w:r>
      <w:r w:rsidR="00E3013D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了</w:t>
      </w:r>
      <w:r w:rsidR="00E3013D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%。其中：境外总承包收入</w:t>
      </w:r>
      <w:r w:rsidRPr="002C5D67">
        <w:rPr>
          <w:rFonts w:ascii="宋体" w:hAnsi="宋体" w:cs="宋体" w:hint="eastAsia"/>
          <w:color w:val="000000"/>
          <w:kern w:val="0"/>
          <w:sz w:val="28"/>
          <w:szCs w:val="28"/>
        </w:rPr>
        <w:t>21.</w:t>
      </w:r>
      <w:r w:rsidR="00E3013D">
        <w:rPr>
          <w:rFonts w:ascii="宋体" w:hAnsi="宋体" w:cs="宋体" w:hint="eastAsia"/>
          <w:color w:val="000000"/>
          <w:kern w:val="0"/>
          <w:sz w:val="28"/>
          <w:szCs w:val="28"/>
        </w:rPr>
        <w:t>8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亿元，较去年同期增长</w:t>
      </w:r>
      <w:r w:rsidR="00E3013D">
        <w:rPr>
          <w:rFonts w:ascii="宋体" w:hAnsi="宋体" w:hint="eastAsia"/>
          <w:color w:val="000000"/>
          <w:sz w:val="28"/>
          <w:szCs w:val="28"/>
        </w:rPr>
        <w:t>0.32</w:t>
      </w:r>
      <w:r w:rsidRPr="002C5D67">
        <w:rPr>
          <w:rFonts w:ascii="宋体" w:hAnsi="宋体" w:hint="eastAsia"/>
          <w:color w:val="000000"/>
          <w:sz w:val="28"/>
          <w:szCs w:val="28"/>
        </w:rPr>
        <w:t>亿元，增长了</w:t>
      </w:r>
      <w:r w:rsidR="00E3013D">
        <w:rPr>
          <w:rFonts w:ascii="宋体" w:hAnsi="宋体" w:hint="eastAsia"/>
          <w:color w:val="000000"/>
          <w:sz w:val="28"/>
          <w:szCs w:val="28"/>
        </w:rPr>
        <w:t>1.49</w:t>
      </w:r>
      <w:r w:rsidRPr="002C5D67">
        <w:rPr>
          <w:rFonts w:ascii="宋体" w:hAnsi="宋体" w:hint="eastAsia"/>
          <w:color w:val="000000"/>
          <w:sz w:val="28"/>
          <w:szCs w:val="28"/>
        </w:rPr>
        <w:t>%；境外勘测设计及咨询收入</w:t>
      </w:r>
      <w:r w:rsidR="00E3013D">
        <w:rPr>
          <w:rFonts w:ascii="宋体" w:hAnsi="宋体" w:cs="宋体" w:hint="eastAsia"/>
          <w:color w:val="000000"/>
          <w:kern w:val="0"/>
          <w:sz w:val="28"/>
          <w:szCs w:val="28"/>
        </w:rPr>
        <w:t>7.81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</w:t>
      </w:r>
      <w:r w:rsidR="00E3013D">
        <w:rPr>
          <w:rFonts w:ascii="宋体" w:hAnsi="宋体" w:hint="eastAsia"/>
          <w:color w:val="000000"/>
          <w:sz w:val="28"/>
          <w:szCs w:val="28"/>
        </w:rPr>
        <w:t>减少1.11</w:t>
      </w:r>
      <w:r w:rsidRPr="002C5D67">
        <w:rPr>
          <w:rFonts w:ascii="宋体" w:hAnsi="宋体" w:hint="eastAsia"/>
          <w:color w:val="000000"/>
          <w:sz w:val="28"/>
          <w:szCs w:val="28"/>
        </w:rPr>
        <w:t>亿元，</w:t>
      </w:r>
      <w:r w:rsidR="00E3013D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了</w:t>
      </w:r>
      <w:r w:rsidR="00E3013D">
        <w:rPr>
          <w:rFonts w:ascii="宋体" w:hAnsi="宋体" w:hint="eastAsia"/>
          <w:color w:val="000000"/>
          <w:sz w:val="28"/>
          <w:szCs w:val="28"/>
        </w:rPr>
        <w:t>12.44</w:t>
      </w:r>
      <w:r w:rsidRPr="002C5D67">
        <w:rPr>
          <w:rFonts w:ascii="宋体" w:hAnsi="宋体" w:hint="eastAsia"/>
          <w:color w:val="000000"/>
          <w:sz w:val="28"/>
          <w:szCs w:val="28"/>
        </w:rPr>
        <w:t>%。从业务构成上看，总承包收入占比由201</w:t>
      </w:r>
      <w:r w:rsidR="00E3013D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年的</w:t>
      </w:r>
      <w:r w:rsidR="00E3013D">
        <w:rPr>
          <w:rFonts w:ascii="宋体" w:hAnsi="宋体" w:hint="eastAsia"/>
          <w:color w:val="000000"/>
          <w:sz w:val="28"/>
          <w:szCs w:val="28"/>
        </w:rPr>
        <w:t>71</w:t>
      </w:r>
      <w:r w:rsidRPr="002C5D67">
        <w:rPr>
          <w:rFonts w:ascii="宋体" w:hAnsi="宋体" w:hint="eastAsia"/>
          <w:color w:val="000000"/>
          <w:sz w:val="28"/>
          <w:szCs w:val="28"/>
        </w:rPr>
        <w:t>%，提高至201</w:t>
      </w:r>
      <w:r w:rsidR="00E3013D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年的7</w:t>
      </w:r>
      <w:r w:rsidR="00E3013D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%，占比增加</w:t>
      </w:r>
      <w:r w:rsidR="00E3013D">
        <w:rPr>
          <w:rFonts w:ascii="宋体" w:hAnsi="宋体" w:hint="eastAsia"/>
          <w:color w:val="000000"/>
          <w:sz w:val="28"/>
          <w:szCs w:val="28"/>
        </w:rPr>
        <w:t>3</w:t>
      </w:r>
      <w:r w:rsidRPr="002C5D67">
        <w:rPr>
          <w:rFonts w:ascii="宋体" w:hAnsi="宋体" w:hint="eastAsia"/>
          <w:color w:val="000000"/>
          <w:sz w:val="28"/>
          <w:szCs w:val="28"/>
        </w:rPr>
        <w:t>个百分点，行业境外收入的</w:t>
      </w:r>
      <w:r w:rsidR="00E3013D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，主要是受境外</w:t>
      </w:r>
      <w:r w:rsidR="00E3013D">
        <w:rPr>
          <w:rFonts w:ascii="宋体" w:hAnsi="宋体" w:hint="eastAsia"/>
          <w:color w:val="000000"/>
          <w:sz w:val="28"/>
          <w:szCs w:val="28"/>
        </w:rPr>
        <w:t>勘测设计咨询业务</w:t>
      </w:r>
      <w:r w:rsidRPr="002C5D67">
        <w:rPr>
          <w:rFonts w:ascii="宋体" w:hAnsi="宋体" w:hint="eastAsia"/>
          <w:color w:val="000000"/>
          <w:sz w:val="28"/>
          <w:szCs w:val="28"/>
        </w:rPr>
        <w:t>收入</w:t>
      </w:r>
      <w:r w:rsidR="00E3013D">
        <w:rPr>
          <w:rFonts w:ascii="宋体" w:hAnsi="宋体" w:hint="eastAsia"/>
          <w:color w:val="000000"/>
          <w:sz w:val="28"/>
          <w:szCs w:val="28"/>
        </w:rPr>
        <w:t>减少</w:t>
      </w:r>
      <w:r w:rsidRPr="002C5D67">
        <w:rPr>
          <w:rFonts w:ascii="宋体" w:hAnsi="宋体" w:hint="eastAsia"/>
          <w:color w:val="000000"/>
          <w:sz w:val="28"/>
          <w:szCs w:val="28"/>
        </w:rPr>
        <w:t>的影响。</w:t>
      </w:r>
    </w:p>
    <w:p w:rsidR="00374A03" w:rsidRPr="002C5D67" w:rsidRDefault="00374A03" w:rsidP="00374A03">
      <w:pPr>
        <w:pStyle w:val="a9"/>
        <w:spacing w:line="360" w:lineRule="auto"/>
        <w:ind w:firstLine="40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sz w:val="28"/>
          <w:szCs w:val="28"/>
        </w:rPr>
        <w:t>（2）利润额</w:t>
      </w:r>
    </w:p>
    <w:p w:rsidR="00992484" w:rsidRPr="002C5D67" w:rsidRDefault="00992484" w:rsidP="00992484">
      <w:pPr>
        <w:spacing w:line="360" w:lineRule="auto"/>
        <w:ind w:leftChars="67" w:left="141" w:firstLineChars="200" w:firstLine="560"/>
        <w:rPr>
          <w:rFonts w:ascii="宋体" w:hAnsi="宋体"/>
          <w:color w:val="000000"/>
          <w:sz w:val="28"/>
          <w:szCs w:val="28"/>
        </w:rPr>
      </w:pPr>
      <w:r w:rsidRPr="002C5D67">
        <w:rPr>
          <w:rFonts w:ascii="宋体" w:hAnsi="宋体" w:hint="eastAsia"/>
          <w:color w:val="000000"/>
          <w:sz w:val="28"/>
          <w:szCs w:val="28"/>
        </w:rPr>
        <w:t>201</w:t>
      </w:r>
      <w:r w:rsidR="00E3013D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年，行业实现营业利润总额</w:t>
      </w:r>
      <w:r w:rsidR="00E3013D" w:rsidRPr="00E3013D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62.48</w:t>
      </w:r>
      <w:r w:rsidRPr="002C5D67">
        <w:rPr>
          <w:rFonts w:ascii="宋体" w:hAnsi="宋体" w:hint="eastAsia"/>
          <w:color w:val="000000"/>
          <w:sz w:val="28"/>
          <w:szCs w:val="28"/>
        </w:rPr>
        <w:t>亿元，较去年同期增加了</w:t>
      </w:r>
      <w:r w:rsidR="00E3013D">
        <w:rPr>
          <w:rFonts w:ascii="宋体" w:hAnsi="宋体" w:hint="eastAsia"/>
          <w:color w:val="000000"/>
          <w:sz w:val="28"/>
          <w:szCs w:val="28"/>
        </w:rPr>
        <w:t>8.57</w:t>
      </w:r>
      <w:r w:rsidRPr="002C5D67">
        <w:rPr>
          <w:rFonts w:ascii="宋体" w:hAnsi="宋体" w:hint="eastAsia"/>
          <w:color w:val="000000"/>
          <w:sz w:val="28"/>
          <w:szCs w:val="28"/>
        </w:rPr>
        <w:t>亿元，增长</w:t>
      </w:r>
      <w:r w:rsidR="00E3013D">
        <w:rPr>
          <w:rFonts w:ascii="宋体" w:hAnsi="宋体" w:hint="eastAsia"/>
          <w:color w:val="000000"/>
          <w:sz w:val="28"/>
          <w:szCs w:val="28"/>
        </w:rPr>
        <w:t>15.9</w:t>
      </w:r>
      <w:r w:rsidRPr="002C5D67">
        <w:rPr>
          <w:rFonts w:ascii="宋体" w:hAnsi="宋体" w:hint="eastAsia"/>
          <w:color w:val="000000"/>
          <w:sz w:val="28"/>
          <w:szCs w:val="28"/>
        </w:rPr>
        <w:t>%，增速</w:t>
      </w:r>
      <w:r w:rsidR="00E3013D">
        <w:rPr>
          <w:rFonts w:ascii="宋体" w:hAnsi="宋体" w:hint="eastAsia"/>
          <w:color w:val="000000"/>
          <w:sz w:val="28"/>
          <w:szCs w:val="28"/>
        </w:rPr>
        <w:t>较大</w:t>
      </w:r>
      <w:r w:rsidRPr="002C5D67">
        <w:rPr>
          <w:rFonts w:ascii="宋体" w:hAnsi="宋体" w:hint="eastAsia"/>
          <w:color w:val="000000"/>
          <w:sz w:val="28"/>
          <w:szCs w:val="28"/>
        </w:rPr>
        <w:t>（201</w:t>
      </w:r>
      <w:r w:rsidR="00E3013D">
        <w:rPr>
          <w:rFonts w:ascii="宋体" w:hAnsi="宋体" w:hint="eastAsia"/>
          <w:color w:val="000000"/>
          <w:sz w:val="28"/>
          <w:szCs w:val="28"/>
        </w:rPr>
        <w:t>4</w:t>
      </w:r>
      <w:r w:rsidRPr="002C5D67">
        <w:rPr>
          <w:rFonts w:ascii="宋体" w:hAnsi="宋体" w:hint="eastAsia"/>
          <w:color w:val="000000"/>
          <w:sz w:val="28"/>
          <w:szCs w:val="28"/>
        </w:rPr>
        <w:t>年同比</w:t>
      </w:r>
      <w:r w:rsidR="00166D90" w:rsidRPr="002C5D67">
        <w:rPr>
          <w:rFonts w:ascii="宋体" w:hAnsi="宋体" w:hint="eastAsia"/>
          <w:color w:val="000000"/>
          <w:sz w:val="28"/>
          <w:szCs w:val="28"/>
        </w:rPr>
        <w:t>增</w:t>
      </w:r>
      <w:r w:rsidR="00166D90">
        <w:rPr>
          <w:rFonts w:ascii="宋体" w:hAnsi="宋体" w:hint="eastAsia"/>
          <w:color w:val="000000"/>
          <w:sz w:val="28"/>
          <w:szCs w:val="28"/>
        </w:rPr>
        <w:t>长</w:t>
      </w:r>
      <w:r w:rsidR="00E3013D">
        <w:rPr>
          <w:rFonts w:ascii="宋体" w:hAnsi="宋体" w:hint="eastAsia"/>
          <w:color w:val="000000"/>
          <w:sz w:val="28"/>
          <w:szCs w:val="28"/>
        </w:rPr>
        <w:t>2.9</w:t>
      </w:r>
      <w:r w:rsidRPr="002C5D67">
        <w:rPr>
          <w:rFonts w:ascii="宋体" w:hAnsi="宋体" w:hint="eastAsia"/>
          <w:color w:val="000000"/>
          <w:sz w:val="28"/>
          <w:szCs w:val="28"/>
        </w:rPr>
        <w:t>%）；人均利润总额</w:t>
      </w:r>
      <w:r w:rsidR="00E3013D">
        <w:rPr>
          <w:rFonts w:ascii="宋体" w:hAnsi="宋体" w:hint="eastAsia"/>
          <w:color w:val="000000"/>
          <w:sz w:val="28"/>
          <w:szCs w:val="28"/>
        </w:rPr>
        <w:t>18.65</w:t>
      </w:r>
      <w:r w:rsidRPr="002C5D67">
        <w:rPr>
          <w:rFonts w:ascii="宋体" w:hAnsi="宋体" w:hint="eastAsia"/>
          <w:color w:val="000000"/>
          <w:sz w:val="28"/>
          <w:szCs w:val="28"/>
        </w:rPr>
        <w:t>万元，较去年同期</w:t>
      </w:r>
      <w:r w:rsidR="00E3013D">
        <w:rPr>
          <w:rFonts w:ascii="宋体" w:hAnsi="宋体" w:hint="eastAsia"/>
          <w:color w:val="000000"/>
          <w:sz w:val="28"/>
          <w:szCs w:val="28"/>
        </w:rPr>
        <w:t>增加2.37</w:t>
      </w:r>
      <w:r w:rsidRPr="002C5D67">
        <w:rPr>
          <w:rFonts w:ascii="宋体" w:hAnsi="宋体" w:hint="eastAsia"/>
          <w:color w:val="000000"/>
          <w:sz w:val="28"/>
          <w:szCs w:val="28"/>
        </w:rPr>
        <w:t>万元，</w:t>
      </w:r>
      <w:r w:rsidR="00E3013D">
        <w:rPr>
          <w:rFonts w:ascii="宋体" w:hAnsi="宋体" w:hint="eastAsia"/>
          <w:color w:val="000000"/>
          <w:sz w:val="28"/>
          <w:szCs w:val="28"/>
        </w:rPr>
        <w:t>增长</w:t>
      </w:r>
      <w:r w:rsidRPr="002C5D67">
        <w:rPr>
          <w:rFonts w:ascii="宋体" w:hAnsi="宋体" w:hint="eastAsia"/>
          <w:color w:val="000000"/>
          <w:sz w:val="28"/>
          <w:szCs w:val="28"/>
        </w:rPr>
        <w:t>了</w:t>
      </w:r>
      <w:r w:rsidR="002952BF">
        <w:rPr>
          <w:rFonts w:ascii="宋体" w:hAnsi="宋体" w:hint="eastAsia"/>
          <w:color w:val="000000"/>
          <w:sz w:val="28"/>
          <w:szCs w:val="28"/>
        </w:rPr>
        <w:t>1</w:t>
      </w:r>
      <w:r w:rsidR="00E3013D">
        <w:rPr>
          <w:rFonts w:ascii="宋体" w:hAnsi="宋体" w:hint="eastAsia"/>
          <w:color w:val="000000"/>
          <w:sz w:val="28"/>
          <w:szCs w:val="28"/>
        </w:rPr>
        <w:t>5</w:t>
      </w:r>
      <w:r w:rsidRPr="002C5D67">
        <w:rPr>
          <w:rFonts w:ascii="宋体" w:hAnsi="宋体" w:hint="eastAsia"/>
          <w:color w:val="000000"/>
          <w:sz w:val="28"/>
          <w:szCs w:val="28"/>
        </w:rPr>
        <w:t>%。</w:t>
      </w:r>
      <w:r w:rsidR="00E3013D">
        <w:rPr>
          <w:rFonts w:ascii="宋体" w:hAnsi="宋体" w:hint="eastAsia"/>
          <w:color w:val="000000"/>
          <w:sz w:val="28"/>
          <w:szCs w:val="28"/>
        </w:rPr>
        <w:t>利润增速略高于营业收入增速。</w:t>
      </w:r>
    </w:p>
    <w:p w:rsidR="00374A03" w:rsidRPr="002C5D67" w:rsidRDefault="00992484" w:rsidP="00992484">
      <w:pPr>
        <w:pStyle w:val="a9"/>
        <w:spacing w:line="360" w:lineRule="auto"/>
        <w:ind w:firstLine="40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hint="eastAsia"/>
          <w:color w:val="000000"/>
          <w:sz w:val="28"/>
          <w:szCs w:val="28"/>
        </w:rPr>
        <w:lastRenderedPageBreak/>
        <w:t>20</w:t>
      </w:r>
      <w:r w:rsidR="00E3013D">
        <w:rPr>
          <w:rFonts w:hint="eastAsia"/>
          <w:color w:val="000000"/>
          <w:sz w:val="28"/>
          <w:szCs w:val="28"/>
        </w:rPr>
        <w:t>15</w:t>
      </w:r>
      <w:r w:rsidRPr="002C5D67">
        <w:rPr>
          <w:rFonts w:hint="eastAsia"/>
          <w:color w:val="000000"/>
          <w:sz w:val="28"/>
          <w:szCs w:val="28"/>
        </w:rPr>
        <w:t>年，行业净利润</w:t>
      </w:r>
      <w:r w:rsidR="00E3013D" w:rsidRPr="00A4406F">
        <w:rPr>
          <w:rFonts w:hint="eastAsia"/>
          <w:b/>
          <w:color w:val="000000"/>
          <w:sz w:val="28"/>
          <w:szCs w:val="28"/>
        </w:rPr>
        <w:t>51.5</w:t>
      </w:r>
      <w:r w:rsidRPr="002C5D67">
        <w:rPr>
          <w:rFonts w:hint="eastAsia"/>
          <w:color w:val="000000"/>
          <w:sz w:val="28"/>
          <w:szCs w:val="28"/>
        </w:rPr>
        <w:t>亿元，较去年同期增加</w:t>
      </w:r>
      <w:r w:rsidR="00E3013D">
        <w:rPr>
          <w:rFonts w:hint="eastAsia"/>
          <w:sz w:val="28"/>
          <w:szCs w:val="28"/>
        </w:rPr>
        <w:t>6.71</w:t>
      </w:r>
      <w:r w:rsidRPr="002C5D67">
        <w:rPr>
          <w:rFonts w:hint="eastAsia"/>
          <w:sz w:val="28"/>
          <w:szCs w:val="28"/>
        </w:rPr>
        <w:t>亿元，增长</w:t>
      </w:r>
      <w:r w:rsidR="00A4406F">
        <w:rPr>
          <w:rFonts w:hint="eastAsia"/>
          <w:sz w:val="28"/>
          <w:szCs w:val="28"/>
        </w:rPr>
        <w:t>14.98</w:t>
      </w:r>
      <w:r w:rsidRPr="002C5D67">
        <w:rPr>
          <w:rFonts w:hint="eastAsia"/>
          <w:sz w:val="28"/>
          <w:szCs w:val="28"/>
        </w:rPr>
        <w:t>%，</w:t>
      </w:r>
      <w:r w:rsidRPr="002C5D67">
        <w:rPr>
          <w:rFonts w:hint="eastAsia"/>
          <w:color w:val="000000"/>
          <w:sz w:val="28"/>
          <w:szCs w:val="28"/>
        </w:rPr>
        <w:t>增速</w:t>
      </w:r>
      <w:r w:rsidR="00A4406F">
        <w:rPr>
          <w:rFonts w:hint="eastAsia"/>
          <w:color w:val="000000"/>
          <w:sz w:val="28"/>
          <w:szCs w:val="28"/>
        </w:rPr>
        <w:t>较大</w:t>
      </w:r>
      <w:r w:rsidRPr="002C5D67">
        <w:rPr>
          <w:rFonts w:hint="eastAsia"/>
          <w:color w:val="000000"/>
          <w:sz w:val="28"/>
          <w:szCs w:val="28"/>
        </w:rPr>
        <w:t>（201</w:t>
      </w:r>
      <w:r w:rsidR="00A4406F">
        <w:rPr>
          <w:rFonts w:hint="eastAsia"/>
          <w:color w:val="000000"/>
          <w:sz w:val="28"/>
          <w:szCs w:val="28"/>
        </w:rPr>
        <w:t>4</w:t>
      </w:r>
      <w:r w:rsidRPr="002C5D67">
        <w:rPr>
          <w:rFonts w:hint="eastAsia"/>
          <w:color w:val="000000"/>
          <w:sz w:val="28"/>
          <w:szCs w:val="28"/>
        </w:rPr>
        <w:t>年同比</w:t>
      </w:r>
      <w:r w:rsidR="00D47393" w:rsidRPr="002C5D67">
        <w:rPr>
          <w:rFonts w:hint="eastAsia"/>
          <w:color w:val="000000"/>
          <w:sz w:val="28"/>
          <w:szCs w:val="28"/>
        </w:rPr>
        <w:t>增</w:t>
      </w:r>
      <w:r w:rsidR="00D47393">
        <w:rPr>
          <w:rFonts w:hint="eastAsia"/>
          <w:color w:val="000000"/>
          <w:sz w:val="28"/>
          <w:szCs w:val="28"/>
        </w:rPr>
        <w:t>长</w:t>
      </w:r>
      <w:r w:rsidR="00A4406F">
        <w:rPr>
          <w:rFonts w:hint="eastAsia"/>
          <w:color w:val="000000"/>
          <w:sz w:val="28"/>
          <w:szCs w:val="28"/>
        </w:rPr>
        <w:t>2.21</w:t>
      </w:r>
      <w:r w:rsidRPr="002C5D67">
        <w:rPr>
          <w:rFonts w:hint="eastAsia"/>
          <w:color w:val="000000"/>
          <w:sz w:val="28"/>
          <w:szCs w:val="28"/>
        </w:rPr>
        <w:t>%），</w:t>
      </w:r>
      <w:r w:rsidRPr="002C5D67">
        <w:rPr>
          <w:rFonts w:hint="eastAsia"/>
          <w:sz w:val="28"/>
          <w:szCs w:val="28"/>
        </w:rPr>
        <w:t>人均净利润</w:t>
      </w:r>
      <w:r w:rsidR="00A4406F">
        <w:rPr>
          <w:rFonts w:hint="eastAsia"/>
          <w:sz w:val="28"/>
          <w:szCs w:val="28"/>
        </w:rPr>
        <w:t>15.37</w:t>
      </w:r>
      <w:r w:rsidRPr="002C5D67">
        <w:rPr>
          <w:rFonts w:hint="eastAsia"/>
          <w:sz w:val="28"/>
          <w:szCs w:val="28"/>
        </w:rPr>
        <w:t>万元，</w:t>
      </w:r>
      <w:r w:rsidR="00182719" w:rsidRPr="002C5D67">
        <w:rPr>
          <w:rFonts w:hint="eastAsia"/>
          <w:color w:val="000000"/>
          <w:sz w:val="28"/>
          <w:szCs w:val="28"/>
        </w:rPr>
        <w:t>较去年同期</w:t>
      </w:r>
      <w:r w:rsidR="00A4406F">
        <w:rPr>
          <w:rFonts w:hint="eastAsia"/>
          <w:color w:val="000000"/>
          <w:sz w:val="28"/>
          <w:szCs w:val="28"/>
        </w:rPr>
        <w:t>增加1.85</w:t>
      </w:r>
      <w:r w:rsidR="00182719" w:rsidRPr="002C5D67">
        <w:rPr>
          <w:rFonts w:hint="eastAsia"/>
          <w:color w:val="000000"/>
          <w:sz w:val="28"/>
          <w:szCs w:val="28"/>
        </w:rPr>
        <w:t>万元，</w:t>
      </w:r>
      <w:r w:rsidR="00A4406F">
        <w:rPr>
          <w:rFonts w:hint="eastAsia"/>
          <w:color w:val="000000"/>
          <w:sz w:val="28"/>
          <w:szCs w:val="28"/>
        </w:rPr>
        <w:t>增长</w:t>
      </w:r>
      <w:r w:rsidR="00182719" w:rsidRPr="002C5D67">
        <w:rPr>
          <w:rFonts w:hint="eastAsia"/>
          <w:color w:val="000000"/>
          <w:sz w:val="28"/>
          <w:szCs w:val="28"/>
        </w:rPr>
        <w:t>了</w:t>
      </w:r>
      <w:r w:rsidR="00A4406F">
        <w:rPr>
          <w:rFonts w:hint="eastAsia"/>
          <w:color w:val="000000"/>
          <w:sz w:val="28"/>
          <w:szCs w:val="28"/>
        </w:rPr>
        <w:t>14</w:t>
      </w:r>
      <w:r w:rsidR="00182719" w:rsidRPr="002C5D67">
        <w:rPr>
          <w:rFonts w:hint="eastAsia"/>
          <w:color w:val="000000"/>
          <w:sz w:val="28"/>
          <w:szCs w:val="28"/>
        </w:rPr>
        <w:t>%。</w:t>
      </w:r>
    </w:p>
    <w:p w:rsidR="00FA1A57" w:rsidRPr="002C5D67" w:rsidRDefault="00374A03" w:rsidP="00992484">
      <w:pPr>
        <w:pStyle w:val="a9"/>
        <w:spacing w:line="360" w:lineRule="auto"/>
        <w:ind w:firstLine="40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2C5D67">
        <w:rPr>
          <w:rFonts w:asciiTheme="minorEastAsia" w:eastAsiaTheme="minorEastAsia" w:hAnsiTheme="minorEastAsia"/>
          <w:sz w:val="28"/>
          <w:szCs w:val="28"/>
        </w:rPr>
        <w:t>3）经济增加值</w:t>
      </w:r>
      <w:r w:rsidRPr="002C5D67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Pr="002C5D67">
        <w:rPr>
          <w:rFonts w:asciiTheme="minorEastAsia" w:eastAsiaTheme="minorEastAsia" w:hAnsiTheme="minorEastAsia"/>
          <w:sz w:val="28"/>
          <w:szCs w:val="28"/>
        </w:rPr>
        <w:t>EVA）</w:t>
      </w:r>
    </w:p>
    <w:p w:rsidR="00992484" w:rsidRPr="002C5D67" w:rsidRDefault="00992484" w:rsidP="00992484">
      <w:pPr>
        <w:pStyle w:val="a9"/>
        <w:spacing w:line="360" w:lineRule="auto"/>
        <w:ind w:firstLineChars="200" w:firstLine="560"/>
        <w:rPr>
          <w:sz w:val="28"/>
          <w:szCs w:val="28"/>
        </w:rPr>
      </w:pPr>
      <w:r w:rsidRPr="002C5D67">
        <w:rPr>
          <w:rFonts w:hint="eastAsia"/>
          <w:sz w:val="28"/>
          <w:szCs w:val="28"/>
        </w:rPr>
        <w:t>经济增加值（</w:t>
      </w:r>
      <w:r w:rsidRPr="002C5D67">
        <w:rPr>
          <w:sz w:val="28"/>
          <w:szCs w:val="28"/>
        </w:rPr>
        <w:t>EVA）为</w:t>
      </w:r>
      <w:r w:rsidRPr="002C5D67">
        <w:rPr>
          <w:rFonts w:hint="eastAsia"/>
          <w:sz w:val="28"/>
          <w:szCs w:val="28"/>
        </w:rPr>
        <w:t>税后净营业利润减去资本成本，是全面衡量企业生产经营真正盈利或创造价值的一个指标。经济增加值是一项真正能体现企业价值的考核指标，是反映企业的经济利润而不再是企业的会计利润，是反映企业好坏的标准，经济增加值持续增长的企业才是好企业。</w:t>
      </w:r>
    </w:p>
    <w:p w:rsidR="00FA1A57" w:rsidRPr="002C5D67" w:rsidRDefault="00992484" w:rsidP="00992484">
      <w:pPr>
        <w:pStyle w:val="a9"/>
        <w:spacing w:line="360" w:lineRule="auto"/>
        <w:ind w:firstLine="400"/>
        <w:rPr>
          <w:rFonts w:asciiTheme="minorEastAsia" w:eastAsiaTheme="minorEastAsia" w:hAnsiTheme="minorEastAsia"/>
          <w:sz w:val="28"/>
          <w:szCs w:val="28"/>
        </w:rPr>
      </w:pPr>
      <w:r w:rsidRPr="002C5D67">
        <w:rPr>
          <w:sz w:val="28"/>
          <w:szCs w:val="28"/>
        </w:rPr>
        <w:t>201</w:t>
      </w:r>
      <w:r w:rsidR="00A4406F">
        <w:rPr>
          <w:rFonts w:hint="eastAsia"/>
          <w:sz w:val="28"/>
          <w:szCs w:val="28"/>
        </w:rPr>
        <w:t>5</w:t>
      </w:r>
      <w:r w:rsidRPr="002C5D67">
        <w:rPr>
          <w:sz w:val="28"/>
          <w:szCs w:val="28"/>
        </w:rPr>
        <w:t>年行业经济增</w:t>
      </w:r>
      <w:r w:rsidR="000B773C" w:rsidRPr="000B773C">
        <w:rPr>
          <w:rFonts w:hint="eastAsia"/>
          <w:sz w:val="28"/>
          <w:szCs w:val="28"/>
        </w:rPr>
        <w:t>加</w:t>
      </w:r>
      <w:r w:rsidR="000B773C" w:rsidRPr="000B773C">
        <w:rPr>
          <w:rFonts w:hint="eastAsia"/>
          <w:color w:val="000000"/>
          <w:sz w:val="28"/>
          <w:szCs w:val="28"/>
        </w:rPr>
        <w:t>值</w:t>
      </w:r>
      <w:r w:rsidR="00A4406F">
        <w:rPr>
          <w:rFonts w:hint="eastAsia"/>
          <w:color w:val="000000"/>
          <w:sz w:val="28"/>
          <w:szCs w:val="28"/>
        </w:rPr>
        <w:t>38.65</w:t>
      </w:r>
      <w:r w:rsidR="000B773C" w:rsidRPr="000B773C">
        <w:rPr>
          <w:rFonts w:hint="eastAsia"/>
          <w:color w:val="000000"/>
          <w:sz w:val="28"/>
          <w:szCs w:val="28"/>
        </w:rPr>
        <w:t>亿元</w:t>
      </w:r>
      <w:r w:rsidR="000B773C" w:rsidRPr="000B773C">
        <w:rPr>
          <w:rFonts w:hint="eastAsia"/>
          <w:sz w:val="28"/>
          <w:szCs w:val="28"/>
        </w:rPr>
        <w:t>，</w:t>
      </w:r>
      <w:r w:rsidRPr="002C5D67">
        <w:rPr>
          <w:rFonts w:hint="eastAsia"/>
          <w:sz w:val="28"/>
          <w:szCs w:val="28"/>
        </w:rPr>
        <w:t>较去年同期</w:t>
      </w:r>
      <w:r w:rsidR="00A4406F">
        <w:rPr>
          <w:rFonts w:hint="eastAsia"/>
          <w:sz w:val="28"/>
          <w:szCs w:val="28"/>
        </w:rPr>
        <w:t>增加1.23</w:t>
      </w:r>
      <w:r w:rsidRPr="002C5D67">
        <w:rPr>
          <w:rFonts w:hint="eastAsia"/>
          <w:sz w:val="28"/>
          <w:szCs w:val="28"/>
        </w:rPr>
        <w:t>亿元，</w:t>
      </w:r>
      <w:r w:rsidR="00A4406F">
        <w:rPr>
          <w:rFonts w:hint="eastAsia"/>
          <w:sz w:val="28"/>
          <w:szCs w:val="28"/>
        </w:rPr>
        <w:t>增长</w:t>
      </w:r>
      <w:r w:rsidRPr="002C5D67">
        <w:rPr>
          <w:rFonts w:hint="eastAsia"/>
          <w:sz w:val="28"/>
          <w:szCs w:val="28"/>
        </w:rPr>
        <w:t>了3.</w:t>
      </w:r>
      <w:r w:rsidR="00A4406F">
        <w:rPr>
          <w:rFonts w:hint="eastAsia"/>
          <w:sz w:val="28"/>
          <w:szCs w:val="28"/>
        </w:rPr>
        <w:t>29</w:t>
      </w:r>
      <w:r w:rsidRPr="002C5D67">
        <w:rPr>
          <w:sz w:val="28"/>
          <w:szCs w:val="28"/>
        </w:rPr>
        <w:t>%，人均经济增加值11.</w:t>
      </w:r>
      <w:r w:rsidR="00A4406F">
        <w:rPr>
          <w:rFonts w:hint="eastAsia"/>
          <w:sz w:val="28"/>
          <w:szCs w:val="28"/>
        </w:rPr>
        <w:t>53</w:t>
      </w:r>
      <w:r w:rsidRPr="002C5D67">
        <w:rPr>
          <w:sz w:val="28"/>
          <w:szCs w:val="28"/>
        </w:rPr>
        <w:t>万元，较去年</w:t>
      </w:r>
      <w:r w:rsidRPr="002C5D67">
        <w:rPr>
          <w:rFonts w:hint="eastAsia"/>
          <w:sz w:val="28"/>
          <w:szCs w:val="28"/>
        </w:rPr>
        <w:t>同期</w:t>
      </w:r>
      <w:r w:rsidR="00A4406F">
        <w:rPr>
          <w:rFonts w:hint="eastAsia"/>
          <w:sz w:val="28"/>
          <w:szCs w:val="28"/>
        </w:rPr>
        <w:t>增长2</w:t>
      </w:r>
      <w:r w:rsidR="00182719">
        <w:rPr>
          <w:rFonts w:hint="eastAsia"/>
          <w:sz w:val="28"/>
          <w:szCs w:val="28"/>
        </w:rPr>
        <w:t>个百分点</w:t>
      </w:r>
      <w:r w:rsidR="00374A03" w:rsidRPr="002C5D67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374A03" w:rsidRPr="002C5D67" w:rsidRDefault="00374A03" w:rsidP="00374A03">
      <w:pPr>
        <w:pStyle w:val="a9"/>
        <w:tabs>
          <w:tab w:val="left" w:pos="10965"/>
        </w:tabs>
        <w:spacing w:line="360" w:lineRule="auto"/>
        <w:ind w:firstLine="400"/>
        <w:rPr>
          <w:rFonts w:asciiTheme="minorEastAsia" w:eastAsiaTheme="minorEastAsia" w:hAnsiTheme="minorEastAsia"/>
          <w:b/>
          <w:sz w:val="28"/>
          <w:szCs w:val="28"/>
        </w:rPr>
      </w:pPr>
      <w:r w:rsidRPr="002C5D67">
        <w:rPr>
          <w:rFonts w:asciiTheme="minorEastAsia" w:eastAsiaTheme="minorEastAsia" w:hAnsiTheme="minorEastAsia"/>
          <w:b/>
          <w:sz w:val="28"/>
          <w:szCs w:val="28"/>
        </w:rPr>
        <w:t>6、综合分析</w:t>
      </w:r>
      <w:r w:rsidRPr="002C5D67">
        <w:rPr>
          <w:rFonts w:asciiTheme="minorEastAsia" w:eastAsiaTheme="minorEastAsia" w:hAnsiTheme="minorEastAsia"/>
          <w:b/>
          <w:sz w:val="28"/>
          <w:szCs w:val="28"/>
        </w:rPr>
        <w:tab/>
      </w:r>
    </w:p>
    <w:p w:rsidR="00992484" w:rsidRPr="002C5D67" w:rsidRDefault="00992484" w:rsidP="00992484">
      <w:pPr>
        <w:spacing w:line="360" w:lineRule="auto"/>
        <w:ind w:leftChars="67" w:left="141"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综上所述可知，</w:t>
      </w:r>
      <w:r w:rsidRPr="002C5D67">
        <w:rPr>
          <w:rFonts w:ascii="宋体" w:hAnsi="宋体"/>
          <w:sz w:val="28"/>
          <w:szCs w:val="28"/>
        </w:rPr>
        <w:t>201</w:t>
      </w:r>
      <w:r w:rsidR="00A4406F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/>
          <w:sz w:val="28"/>
          <w:szCs w:val="28"/>
        </w:rPr>
        <w:t>年，行业的</w:t>
      </w:r>
      <w:r w:rsidRPr="002C5D67">
        <w:rPr>
          <w:rFonts w:ascii="宋体" w:hAnsi="宋体" w:hint="eastAsia"/>
          <w:sz w:val="28"/>
          <w:szCs w:val="28"/>
        </w:rPr>
        <w:t>职</w:t>
      </w:r>
      <w:r w:rsidR="000B773C" w:rsidRPr="000B773C">
        <w:rPr>
          <w:rFonts w:ascii="宋体" w:hAnsi="宋体" w:hint="eastAsia"/>
          <w:sz w:val="28"/>
          <w:szCs w:val="28"/>
        </w:rPr>
        <w:t>工总人数、</w:t>
      </w:r>
      <w:r w:rsidR="000B773C" w:rsidRPr="000B773C">
        <w:rPr>
          <w:rFonts w:ascii="宋体" w:hAnsi="宋体"/>
          <w:sz w:val="28"/>
          <w:szCs w:val="28"/>
        </w:rPr>
        <w:t>拥有</w:t>
      </w:r>
      <w:r w:rsidRPr="002C5D67">
        <w:rPr>
          <w:rFonts w:ascii="宋体" w:hAnsi="宋体"/>
          <w:sz w:val="28"/>
          <w:szCs w:val="28"/>
        </w:rPr>
        <w:t>资产总额、新签合同</w:t>
      </w:r>
      <w:r w:rsidRPr="002C5D67">
        <w:rPr>
          <w:rFonts w:ascii="宋体" w:hAnsi="宋体" w:hint="eastAsia"/>
          <w:sz w:val="28"/>
          <w:szCs w:val="28"/>
        </w:rPr>
        <w:t>总额</w:t>
      </w:r>
      <w:r w:rsidRPr="002C5D67">
        <w:rPr>
          <w:rFonts w:ascii="宋体" w:hAnsi="宋体"/>
          <w:sz w:val="28"/>
          <w:szCs w:val="28"/>
        </w:rPr>
        <w:t>、营业收入、</w:t>
      </w:r>
      <w:r w:rsidRPr="002C5D67">
        <w:rPr>
          <w:rFonts w:ascii="宋体" w:hAnsi="宋体" w:hint="eastAsia"/>
          <w:sz w:val="28"/>
          <w:szCs w:val="28"/>
        </w:rPr>
        <w:t>实现的利润</w:t>
      </w:r>
      <w:r w:rsidR="00A4406F">
        <w:rPr>
          <w:rFonts w:ascii="宋体" w:hAnsi="宋体" w:hint="eastAsia"/>
          <w:sz w:val="28"/>
          <w:szCs w:val="28"/>
        </w:rPr>
        <w:t>、净利润、经济增加值</w:t>
      </w:r>
      <w:r w:rsidRPr="002C5D67">
        <w:rPr>
          <w:rFonts w:ascii="宋体" w:hAnsi="宋体" w:hint="eastAsia"/>
          <w:sz w:val="28"/>
          <w:szCs w:val="28"/>
        </w:rPr>
        <w:t>均较去年同期有</w:t>
      </w:r>
      <w:r w:rsidR="00182719">
        <w:rPr>
          <w:rFonts w:ascii="宋体" w:hAnsi="宋体" w:hint="eastAsia"/>
          <w:sz w:val="28"/>
          <w:szCs w:val="28"/>
        </w:rPr>
        <w:t>不同程度的</w:t>
      </w:r>
      <w:r w:rsidRPr="002C5D67">
        <w:rPr>
          <w:rFonts w:ascii="宋体" w:hAnsi="宋体" w:hint="eastAsia"/>
          <w:sz w:val="28"/>
          <w:szCs w:val="28"/>
        </w:rPr>
        <w:t>增长</w:t>
      </w:r>
      <w:r w:rsidR="00A4406F">
        <w:rPr>
          <w:rFonts w:ascii="宋体" w:hAnsi="宋体" w:hint="eastAsia"/>
          <w:sz w:val="28"/>
          <w:szCs w:val="28"/>
        </w:rPr>
        <w:t>。职工人数、完成产值和营业收入</w:t>
      </w:r>
      <w:r w:rsidRPr="002C5D67">
        <w:rPr>
          <w:rFonts w:ascii="宋体" w:hAnsi="宋体" w:hint="eastAsia"/>
          <w:sz w:val="28"/>
          <w:szCs w:val="28"/>
        </w:rPr>
        <w:t>增长速度</w:t>
      </w:r>
      <w:r w:rsidR="00A4406F">
        <w:rPr>
          <w:rFonts w:ascii="宋体" w:hAnsi="宋体" w:hint="eastAsia"/>
          <w:sz w:val="28"/>
          <w:szCs w:val="28"/>
        </w:rPr>
        <w:t>呈</w:t>
      </w:r>
      <w:r w:rsidRPr="002C5D67">
        <w:rPr>
          <w:rFonts w:ascii="宋体" w:hAnsi="宋体" w:hint="eastAsia"/>
          <w:sz w:val="28"/>
          <w:szCs w:val="28"/>
        </w:rPr>
        <w:t>下降趋势，</w:t>
      </w:r>
      <w:r w:rsidR="00A4406F">
        <w:rPr>
          <w:rFonts w:ascii="宋体" w:hAnsi="宋体" w:hint="eastAsia"/>
          <w:sz w:val="28"/>
          <w:szCs w:val="28"/>
        </w:rPr>
        <w:t>其它指标增速略有增长。</w:t>
      </w:r>
    </w:p>
    <w:p w:rsidR="00333FA3" w:rsidRPr="002E360D" w:rsidRDefault="00333FA3" w:rsidP="00333FA3">
      <w:pPr>
        <w:pStyle w:val="2"/>
        <w:numPr>
          <w:ilvl w:val="0"/>
          <w:numId w:val="1"/>
        </w:numPr>
        <w:spacing w:line="360" w:lineRule="auto"/>
        <w:rPr>
          <w:rFonts w:ascii="宋体" w:eastAsia="宋体" w:hAnsi="宋体"/>
        </w:rPr>
      </w:pPr>
      <w:bookmarkStart w:id="23" w:name="_Toc422233695"/>
      <w:bookmarkStart w:id="24" w:name="_Toc422235137"/>
      <w:bookmarkStart w:id="25" w:name="_Toc422233696"/>
      <w:bookmarkStart w:id="26" w:name="_Toc422235138"/>
      <w:bookmarkStart w:id="27" w:name="_Toc422233697"/>
      <w:bookmarkStart w:id="28" w:name="_Toc422235139"/>
      <w:bookmarkStart w:id="29" w:name="_Toc450668454"/>
      <w:bookmarkEnd w:id="23"/>
      <w:bookmarkEnd w:id="24"/>
      <w:bookmarkEnd w:id="25"/>
      <w:bookmarkEnd w:id="26"/>
      <w:bookmarkEnd w:id="27"/>
      <w:bookmarkEnd w:id="28"/>
      <w:r w:rsidRPr="002E360D">
        <w:rPr>
          <w:rFonts w:ascii="宋体" w:eastAsia="宋体" w:hAnsi="宋体" w:hint="eastAsia"/>
        </w:rPr>
        <w:lastRenderedPageBreak/>
        <w:t>主要指标</w:t>
      </w:r>
      <w:r w:rsidR="009E5697" w:rsidRPr="002E360D">
        <w:rPr>
          <w:rFonts w:ascii="宋体" w:eastAsia="宋体" w:hAnsi="宋体" w:hint="eastAsia"/>
        </w:rPr>
        <w:t>发展</w:t>
      </w:r>
      <w:r w:rsidRPr="002E360D">
        <w:rPr>
          <w:rFonts w:ascii="宋体" w:eastAsia="宋体" w:hAnsi="宋体" w:hint="eastAsia"/>
        </w:rPr>
        <w:t>趋势分析</w:t>
      </w:r>
      <w:bookmarkEnd w:id="29"/>
    </w:p>
    <w:p w:rsidR="00333FA3" w:rsidRPr="002C5D67" w:rsidRDefault="00333FA3" w:rsidP="00333FA3">
      <w:pPr>
        <w:pStyle w:val="3"/>
        <w:numPr>
          <w:ilvl w:val="0"/>
          <w:numId w:val="18"/>
        </w:numPr>
        <w:spacing w:line="360" w:lineRule="auto"/>
        <w:rPr>
          <w:rFonts w:ascii="宋体" w:hAnsi="宋体"/>
          <w:sz w:val="28"/>
          <w:szCs w:val="28"/>
        </w:rPr>
      </w:pPr>
      <w:bookmarkStart w:id="30" w:name="_Toc450668455"/>
      <w:r w:rsidRPr="002C5D67">
        <w:rPr>
          <w:rFonts w:ascii="宋体" w:hAnsi="宋体" w:hint="eastAsia"/>
          <w:sz w:val="28"/>
          <w:szCs w:val="28"/>
        </w:rPr>
        <w:t>新签合同总额</w:t>
      </w:r>
      <w:r w:rsidR="009E5697">
        <w:rPr>
          <w:rFonts w:ascii="宋体" w:hAnsi="宋体" w:hint="eastAsia"/>
          <w:sz w:val="28"/>
          <w:szCs w:val="28"/>
        </w:rPr>
        <w:t>发展</w:t>
      </w:r>
      <w:r w:rsidRPr="002C5D67">
        <w:rPr>
          <w:rFonts w:ascii="宋体" w:hAnsi="宋体" w:hint="eastAsia"/>
          <w:sz w:val="28"/>
          <w:szCs w:val="28"/>
        </w:rPr>
        <w:t>趋势</w:t>
      </w:r>
      <w:bookmarkEnd w:id="30"/>
    </w:p>
    <w:p w:rsidR="009E5697" w:rsidRDefault="00333FA3" w:rsidP="00C96FDB">
      <w:pPr>
        <w:spacing w:line="360" w:lineRule="auto"/>
        <w:ind w:firstLineChars="1690" w:firstLine="4750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新签合同总额</w:t>
      </w:r>
      <w:r w:rsidR="009E5697">
        <w:rPr>
          <w:rFonts w:ascii="宋体" w:hAnsi="宋体" w:hint="eastAsia"/>
          <w:b/>
          <w:sz w:val="28"/>
          <w:szCs w:val="28"/>
        </w:rPr>
        <w:t>发展</w:t>
      </w:r>
      <w:r w:rsidRPr="002C5D67">
        <w:rPr>
          <w:rFonts w:ascii="宋体" w:hAnsi="宋体" w:hint="eastAsia"/>
          <w:b/>
          <w:sz w:val="28"/>
          <w:szCs w:val="28"/>
        </w:rPr>
        <w:t xml:space="preserve">趋势分析                   </w:t>
      </w:r>
    </w:p>
    <w:p w:rsidR="00093D6E" w:rsidRDefault="00333FA3">
      <w:pPr>
        <w:spacing w:line="360" w:lineRule="auto"/>
        <w:ind w:firstLineChars="3999" w:firstLine="11241"/>
        <w:rPr>
          <w:rFonts w:ascii="宋体" w:hAnsi="宋体"/>
          <w:b/>
          <w:szCs w:val="21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       </w:t>
      </w:r>
      <w:r w:rsidRPr="002C5D67">
        <w:rPr>
          <w:rFonts w:ascii="宋体" w:hAnsi="宋体" w:hint="eastAsia"/>
          <w:b/>
          <w:szCs w:val="21"/>
        </w:rPr>
        <w:t>单位：亿元</w:t>
      </w:r>
    </w:p>
    <w:tbl>
      <w:tblPr>
        <w:tblW w:w="4912" w:type="pct"/>
        <w:jc w:val="center"/>
        <w:tblInd w:w="250" w:type="dxa"/>
        <w:tblLook w:val="04A0"/>
      </w:tblPr>
      <w:tblGrid>
        <w:gridCol w:w="1133"/>
        <w:gridCol w:w="1178"/>
        <w:gridCol w:w="1178"/>
        <w:gridCol w:w="1178"/>
        <w:gridCol w:w="1178"/>
        <w:gridCol w:w="1178"/>
        <w:gridCol w:w="1178"/>
        <w:gridCol w:w="1178"/>
        <w:gridCol w:w="1178"/>
        <w:gridCol w:w="1178"/>
        <w:gridCol w:w="1177"/>
        <w:gridCol w:w="1169"/>
      </w:tblGrid>
      <w:tr w:rsidR="00BE77B8" w:rsidRPr="002C5D67" w:rsidTr="00EE24B1">
        <w:trPr>
          <w:trHeight w:val="600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2005年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2006年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2007年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2008年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2009年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2010年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2011年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2012年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2013年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2014年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7B8" w:rsidRPr="002C5D67" w:rsidRDefault="00BE77B8" w:rsidP="00BE77B8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2015年</w:t>
            </w:r>
          </w:p>
        </w:tc>
      </w:tr>
      <w:tr w:rsidR="00BE77B8" w:rsidRPr="002C5D67" w:rsidTr="00EE24B1">
        <w:trPr>
          <w:trHeight w:val="600"/>
          <w:jc w:val="center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合同总额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209.31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280.7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416.24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436.55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422.03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499.73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565.85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5E6F03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793.</w:t>
            </w:r>
            <w:r w:rsidR="005E6F03"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  <w:r w:rsidR="005E6F03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1049</w:t>
            </w:r>
            <w:r w:rsidR="005E6F03">
              <w:rPr>
                <w:rFonts w:asciiTheme="minorEastAsia" w:eastAsiaTheme="minorEastAsia" w:hAnsiTheme="minorEastAsia" w:hint="eastAsia"/>
                <w:sz w:val="20"/>
                <w:szCs w:val="20"/>
              </w:rPr>
              <w:t>.84</w:t>
            </w: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FD0DD4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1114.88</w:t>
            </w:r>
            <w:r w:rsidR="00BE77B8"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7B8" w:rsidRPr="002C5D67" w:rsidRDefault="00BE77B8" w:rsidP="005E6F03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1202.</w:t>
            </w:r>
            <w:r w:rsidR="005E6F03">
              <w:rPr>
                <w:rFonts w:asciiTheme="minorEastAsia" w:eastAsiaTheme="minorEastAsia" w:hAnsiTheme="minorEastAsia" w:hint="eastAsia"/>
                <w:sz w:val="20"/>
                <w:szCs w:val="20"/>
              </w:rPr>
              <w:t>82</w:t>
            </w:r>
          </w:p>
        </w:tc>
      </w:tr>
      <w:tr w:rsidR="00BE77B8" w:rsidRPr="002C5D67" w:rsidTr="00EE24B1">
        <w:trPr>
          <w:trHeight w:val="600"/>
          <w:jc w:val="center"/>
        </w:trPr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上年对比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134.1%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148.3%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104.9%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96.7%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118.4%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113.2%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C96FDB">
            <w:pPr>
              <w:widowControl/>
              <w:jc w:val="righ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140.2%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132%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77B8" w:rsidRPr="002C5D67" w:rsidRDefault="00BE77B8" w:rsidP="00FD0DD4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106.</w:t>
            </w:r>
            <w:r w:rsidR="00FD0DD4">
              <w:rPr>
                <w:rFonts w:asciiTheme="minorEastAsia" w:eastAsiaTheme="minorEastAsia" w:hAnsiTheme="minorEastAsia" w:hint="eastAsia"/>
                <w:sz w:val="20"/>
                <w:szCs w:val="20"/>
              </w:rPr>
              <w:t>3</w:t>
            </w: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%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7B8" w:rsidRPr="002C5D67" w:rsidRDefault="00BE77B8" w:rsidP="00BE77B8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107.7%</w:t>
            </w:r>
          </w:p>
        </w:tc>
      </w:tr>
    </w:tbl>
    <w:p w:rsidR="00C96FDB" w:rsidRPr="002C5D67" w:rsidRDefault="00FD0DD4" w:rsidP="00EE24B1">
      <w:pPr>
        <w:spacing w:line="360" w:lineRule="auto"/>
        <w:jc w:val="center"/>
        <w:rPr>
          <w:rFonts w:ascii="宋体" w:hAnsi="宋体"/>
          <w:b/>
          <w:szCs w:val="21"/>
        </w:rPr>
      </w:pPr>
      <w:r w:rsidRPr="00FD0DD4">
        <w:rPr>
          <w:rFonts w:ascii="宋体" w:hAnsi="宋体"/>
          <w:b/>
          <w:noProof/>
          <w:szCs w:val="21"/>
        </w:rPr>
        <w:drawing>
          <wp:inline distT="0" distB="0" distL="0" distR="0">
            <wp:extent cx="4391025" cy="2114550"/>
            <wp:effectExtent l="19050" t="0" r="9525" b="0"/>
            <wp:docPr id="4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FD0DD4">
        <w:rPr>
          <w:rFonts w:ascii="宋体" w:hAnsi="宋体"/>
          <w:b/>
          <w:noProof/>
          <w:szCs w:val="21"/>
        </w:rPr>
        <w:drawing>
          <wp:inline distT="0" distB="0" distL="0" distR="0">
            <wp:extent cx="4391025" cy="2114550"/>
            <wp:effectExtent l="19050" t="0" r="9525" b="0"/>
            <wp:docPr id="5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33FA3" w:rsidRPr="002C5D67" w:rsidRDefault="00333FA3" w:rsidP="00BE77B8">
      <w:pPr>
        <w:ind w:rightChars="-95" w:right="-199"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BE77B8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年新签合同总额较上年增长</w:t>
      </w:r>
      <w:r w:rsidR="00BE77B8">
        <w:rPr>
          <w:rFonts w:ascii="宋体" w:hAnsi="宋体" w:hint="eastAsia"/>
          <w:sz w:val="28"/>
          <w:szCs w:val="28"/>
        </w:rPr>
        <w:t>7.7</w:t>
      </w:r>
      <w:r w:rsidRPr="002C5D67">
        <w:rPr>
          <w:rFonts w:ascii="宋体" w:hAnsi="宋体" w:hint="eastAsia"/>
          <w:sz w:val="28"/>
          <w:szCs w:val="28"/>
        </w:rPr>
        <w:t>%，是2005年的</w:t>
      </w:r>
      <w:r w:rsidR="00C96FDB" w:rsidRPr="002C5D67">
        <w:rPr>
          <w:rFonts w:ascii="宋体" w:hAnsi="宋体" w:hint="eastAsia"/>
          <w:sz w:val="28"/>
          <w:szCs w:val="28"/>
        </w:rPr>
        <w:t>5.</w:t>
      </w:r>
      <w:r w:rsidR="00BE77B8">
        <w:rPr>
          <w:rFonts w:ascii="宋体" w:hAnsi="宋体" w:hint="eastAsia"/>
          <w:sz w:val="28"/>
          <w:szCs w:val="28"/>
        </w:rPr>
        <w:t>75</w:t>
      </w:r>
      <w:r w:rsidRPr="002C5D67">
        <w:rPr>
          <w:rFonts w:ascii="宋体" w:hAnsi="宋体" w:hint="eastAsia"/>
          <w:sz w:val="28"/>
          <w:szCs w:val="28"/>
        </w:rPr>
        <w:t>倍，2005年以来的平均增长速度为</w:t>
      </w:r>
      <w:r w:rsidR="00BE77B8">
        <w:rPr>
          <w:rFonts w:ascii="宋体" w:hAnsi="宋体" w:hint="eastAsia"/>
          <w:sz w:val="28"/>
          <w:szCs w:val="28"/>
        </w:rPr>
        <w:t>19.1</w:t>
      </w:r>
      <w:r w:rsidRPr="002C5D67">
        <w:rPr>
          <w:rFonts w:ascii="宋体" w:hAnsi="宋体" w:hint="eastAsia"/>
          <w:sz w:val="28"/>
          <w:szCs w:val="28"/>
        </w:rPr>
        <w:t>%，主要</w:t>
      </w:r>
      <w:r w:rsidR="009E5697">
        <w:rPr>
          <w:rFonts w:ascii="宋体" w:hAnsi="宋体" w:hint="eastAsia"/>
          <w:sz w:val="28"/>
          <w:szCs w:val="28"/>
        </w:rPr>
        <w:t>是</w:t>
      </w:r>
      <w:r w:rsidRPr="002C5D67">
        <w:rPr>
          <w:rFonts w:ascii="宋体" w:hAnsi="宋体" w:hint="eastAsia"/>
          <w:sz w:val="28"/>
          <w:szCs w:val="28"/>
        </w:rPr>
        <w:t>因为总承包业务范围</w:t>
      </w:r>
      <w:r w:rsidR="009E5697">
        <w:rPr>
          <w:rFonts w:ascii="宋体" w:hAnsi="宋体" w:hint="eastAsia"/>
          <w:sz w:val="28"/>
          <w:szCs w:val="28"/>
        </w:rPr>
        <w:t>及总量的</w:t>
      </w:r>
      <w:r w:rsidRPr="002C5D67">
        <w:rPr>
          <w:rFonts w:ascii="宋体" w:hAnsi="宋体" w:hint="eastAsia"/>
          <w:sz w:val="28"/>
          <w:szCs w:val="28"/>
        </w:rPr>
        <w:t>不断扩大。</w:t>
      </w:r>
    </w:p>
    <w:p w:rsidR="00333FA3" w:rsidRPr="002C5D67" w:rsidRDefault="00333FA3" w:rsidP="00333FA3">
      <w:pPr>
        <w:pStyle w:val="3"/>
        <w:numPr>
          <w:ilvl w:val="0"/>
          <w:numId w:val="18"/>
        </w:numPr>
        <w:spacing w:line="240" w:lineRule="auto"/>
        <w:rPr>
          <w:rFonts w:ascii="宋体" w:hAnsi="宋体"/>
          <w:sz w:val="28"/>
          <w:szCs w:val="28"/>
        </w:rPr>
      </w:pPr>
      <w:bookmarkStart w:id="31" w:name="_Toc450668456"/>
      <w:r w:rsidRPr="002C5D67">
        <w:rPr>
          <w:rFonts w:ascii="宋体" w:hAnsi="宋体" w:hint="eastAsia"/>
          <w:sz w:val="28"/>
          <w:szCs w:val="28"/>
        </w:rPr>
        <w:lastRenderedPageBreak/>
        <w:t>各类业务新签合同额发展趋势</w:t>
      </w:r>
      <w:bookmarkEnd w:id="31"/>
    </w:p>
    <w:p w:rsidR="00D75D73" w:rsidRDefault="00333FA3" w:rsidP="00C96FDB">
      <w:pPr>
        <w:ind w:firstLineChars="1340" w:firstLine="3767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各类业务新签合同总额发展趋势分析                            </w:t>
      </w:r>
    </w:p>
    <w:p w:rsidR="00093D6E" w:rsidRDefault="00333FA3">
      <w:pPr>
        <w:ind w:firstLineChars="4305" w:firstLine="12101"/>
        <w:rPr>
          <w:rFonts w:ascii="宋体" w:hAnsi="宋体"/>
          <w:b/>
          <w:szCs w:val="21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 </w:t>
      </w:r>
      <w:r w:rsidRPr="002C5D67">
        <w:rPr>
          <w:rFonts w:ascii="宋体" w:hAnsi="宋体" w:hint="eastAsia"/>
          <w:b/>
          <w:szCs w:val="21"/>
        </w:rPr>
        <w:t>单位：亿元</w:t>
      </w:r>
    </w:p>
    <w:tbl>
      <w:tblPr>
        <w:tblW w:w="4896" w:type="pct"/>
        <w:jc w:val="center"/>
        <w:tblInd w:w="108" w:type="dxa"/>
        <w:tblLook w:val="04A0"/>
      </w:tblPr>
      <w:tblGrid>
        <w:gridCol w:w="1615"/>
        <w:gridCol w:w="1152"/>
        <w:gridCol w:w="1152"/>
        <w:gridCol w:w="1149"/>
        <w:gridCol w:w="1148"/>
        <w:gridCol w:w="1148"/>
        <w:gridCol w:w="1148"/>
        <w:gridCol w:w="1148"/>
        <w:gridCol w:w="1145"/>
        <w:gridCol w:w="1145"/>
        <w:gridCol w:w="1142"/>
        <w:gridCol w:w="943"/>
      </w:tblGrid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2005年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2006年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2007年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2008年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2009年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2010年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2011年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2012年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2013年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2014年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6125" w:rsidRPr="002C5D67" w:rsidRDefault="00306125" w:rsidP="0030612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2015年</w:t>
            </w:r>
          </w:p>
        </w:tc>
      </w:tr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5E6F03" w:rsidP="005E6F0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勘</w:t>
            </w: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测</w:t>
            </w:r>
            <w:r w:rsidR="00306125"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设计咨询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121.29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125.78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166.15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186.99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185.55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178.76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236.12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222.4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224.3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228.64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25" w:rsidRPr="00306125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6125">
              <w:rPr>
                <w:rFonts w:asciiTheme="minorEastAsia" w:eastAsiaTheme="minorEastAsia" w:hAnsiTheme="minorEastAsia" w:hint="eastAsia"/>
                <w:sz w:val="20"/>
                <w:szCs w:val="20"/>
              </w:rPr>
              <w:t>209.96</w:t>
            </w:r>
          </w:p>
        </w:tc>
      </w:tr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监理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5.2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4.45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3.71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6.88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4.9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3.26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3.82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4.24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5.2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5.52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25" w:rsidRPr="00306125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6125">
              <w:rPr>
                <w:rFonts w:asciiTheme="minorEastAsia" w:eastAsiaTheme="minorEastAsia" w:hAnsiTheme="minorEastAsia" w:hint="eastAsia"/>
                <w:sz w:val="20"/>
                <w:szCs w:val="20"/>
              </w:rPr>
              <w:t>5.48</w:t>
            </w:r>
          </w:p>
        </w:tc>
      </w:tr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总承包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78.8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147.38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243.88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234.41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229.81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316.13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318.8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564.75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817.2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872.74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25" w:rsidRPr="00306125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6125">
              <w:rPr>
                <w:rFonts w:asciiTheme="minorEastAsia" w:eastAsiaTheme="minorEastAsia" w:hAnsiTheme="minorEastAsia" w:hint="eastAsia"/>
                <w:sz w:val="20"/>
                <w:szCs w:val="20"/>
              </w:rPr>
              <w:t>985.88</w:t>
            </w:r>
          </w:p>
        </w:tc>
      </w:tr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其它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4.01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3.09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2.49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8.26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1.77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1.58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7.1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1.93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commentRangeStart w:id="32"/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</w:t>
            </w:r>
            <w:commentRangeEnd w:id="32"/>
            <w:r w:rsidR="005E6F03">
              <w:rPr>
                <w:rStyle w:val="ac"/>
              </w:rPr>
              <w:commentReference w:id="32"/>
            </w: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.1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FD0DD4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7.98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25" w:rsidRPr="00306125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6125">
              <w:rPr>
                <w:rFonts w:asciiTheme="minorEastAsia" w:eastAsiaTheme="minorEastAsia" w:hAnsiTheme="minorEastAsia" w:hint="eastAsia"/>
                <w:sz w:val="20"/>
                <w:szCs w:val="20"/>
              </w:rPr>
              <w:t>1.49</w:t>
            </w:r>
          </w:p>
        </w:tc>
      </w:tr>
      <w:tr w:rsidR="00306125" w:rsidRPr="002C5D67" w:rsidTr="00EE24B1">
        <w:trPr>
          <w:trHeight w:val="375"/>
          <w:jc w:val="center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合计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209.31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280.7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416.24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436.55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422.03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499.73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565.85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C96FDB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793.32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1049.8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125" w:rsidRPr="002C5D67" w:rsidRDefault="00306125" w:rsidP="00FD0DD4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111</w:t>
            </w:r>
            <w:r w:rsidR="00FD0DD4">
              <w:rPr>
                <w:rFonts w:asciiTheme="minorEastAsia" w:eastAsiaTheme="minorEastAsia" w:hAnsiTheme="minorEastAsia" w:hint="eastAsia"/>
                <w:sz w:val="20"/>
                <w:szCs w:val="20"/>
              </w:rPr>
              <w:t>4.88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25" w:rsidRPr="00306125" w:rsidRDefault="00306125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6125">
              <w:rPr>
                <w:rFonts w:asciiTheme="minorEastAsia" w:eastAsiaTheme="minorEastAsia" w:hAnsiTheme="minorEastAsia" w:hint="eastAsia"/>
                <w:sz w:val="20"/>
                <w:szCs w:val="20"/>
              </w:rPr>
              <w:t>1202.81</w:t>
            </w:r>
          </w:p>
        </w:tc>
      </w:tr>
    </w:tbl>
    <w:p w:rsidR="00333FA3" w:rsidRPr="002C5D67" w:rsidRDefault="00FD0DD4" w:rsidP="00EE24B1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 w:rsidRPr="00FD0DD4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896350" cy="3114675"/>
            <wp:effectExtent l="19050" t="0" r="19050" b="0"/>
            <wp:docPr id="6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33FA3" w:rsidRDefault="00333FA3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lastRenderedPageBreak/>
        <w:t>201</w:t>
      </w:r>
      <w:r w:rsidR="00306125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年，新签合同总额</w:t>
      </w:r>
      <w:r w:rsidR="00306125">
        <w:rPr>
          <w:rFonts w:ascii="宋体" w:hAnsi="宋体" w:hint="eastAsia"/>
          <w:sz w:val="28"/>
          <w:szCs w:val="28"/>
        </w:rPr>
        <w:t>1202.81</w:t>
      </w:r>
      <w:r w:rsidRPr="002C5D67">
        <w:rPr>
          <w:rFonts w:ascii="宋体" w:hAnsi="宋体" w:hint="eastAsia"/>
          <w:sz w:val="28"/>
          <w:szCs w:val="28"/>
        </w:rPr>
        <w:t>亿元，较去年增长</w:t>
      </w:r>
      <w:r w:rsidR="00306125">
        <w:rPr>
          <w:rFonts w:ascii="宋体" w:hAnsi="宋体" w:hint="eastAsia"/>
          <w:sz w:val="28"/>
          <w:szCs w:val="28"/>
        </w:rPr>
        <w:t>7.</w:t>
      </w:r>
      <w:r w:rsidR="00C42FE2">
        <w:rPr>
          <w:rFonts w:ascii="宋体" w:hAnsi="宋体" w:hint="eastAsia"/>
          <w:sz w:val="28"/>
          <w:szCs w:val="28"/>
        </w:rPr>
        <w:t>9</w:t>
      </w:r>
      <w:r w:rsidRPr="002C5D67">
        <w:rPr>
          <w:rFonts w:ascii="宋体" w:hAnsi="宋体" w:hint="eastAsia"/>
          <w:sz w:val="28"/>
          <w:szCs w:val="28"/>
        </w:rPr>
        <w:t>%， 勘测设计咨询业务及总承包业务是新签合同额的重要组成部分，201</w:t>
      </w:r>
      <w:r w:rsidR="00306125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年度勘测设计咨询业务新签合同总额</w:t>
      </w:r>
      <w:r w:rsidR="00AE02FF" w:rsidRPr="00CA5974">
        <w:rPr>
          <w:rFonts w:ascii="宋体" w:hAnsi="宋体" w:hint="eastAsia"/>
          <w:sz w:val="28"/>
          <w:szCs w:val="28"/>
        </w:rPr>
        <w:t>较上年</w:t>
      </w:r>
      <w:r w:rsidR="00306125" w:rsidRPr="00CA5974">
        <w:rPr>
          <w:rFonts w:ascii="宋体" w:hAnsi="宋体" w:hint="eastAsia"/>
          <w:sz w:val="28"/>
          <w:szCs w:val="28"/>
        </w:rPr>
        <w:t>减少约8%</w:t>
      </w:r>
      <w:r w:rsidRPr="00CA5974">
        <w:rPr>
          <w:rFonts w:ascii="宋体" w:hAnsi="宋体" w:hint="eastAsia"/>
          <w:sz w:val="28"/>
          <w:szCs w:val="28"/>
        </w:rPr>
        <w:t>，</w:t>
      </w:r>
      <w:r w:rsidRPr="002C5D67">
        <w:rPr>
          <w:rFonts w:ascii="宋体" w:hAnsi="宋体" w:hint="eastAsia"/>
          <w:sz w:val="28"/>
          <w:szCs w:val="28"/>
        </w:rPr>
        <w:t>总承包新签合同额较上年增长</w:t>
      </w:r>
      <w:r w:rsidR="00CA5974">
        <w:rPr>
          <w:rFonts w:ascii="宋体" w:hAnsi="宋体" w:hint="eastAsia"/>
          <w:sz w:val="28"/>
          <w:szCs w:val="28"/>
        </w:rPr>
        <w:t>13</w:t>
      </w:r>
      <w:r w:rsidRPr="002C5D67">
        <w:rPr>
          <w:rFonts w:ascii="宋体" w:hAnsi="宋体" w:hint="eastAsia"/>
          <w:sz w:val="28"/>
          <w:szCs w:val="28"/>
        </w:rPr>
        <w:t>%。2005年以来，新签合同总额平均增长速度为</w:t>
      </w:r>
      <w:r w:rsidR="00CA5974">
        <w:rPr>
          <w:rFonts w:ascii="宋体" w:hAnsi="宋体" w:hint="eastAsia"/>
          <w:sz w:val="28"/>
          <w:szCs w:val="28"/>
        </w:rPr>
        <w:t>19.1</w:t>
      </w:r>
      <w:r w:rsidRPr="002C5D67">
        <w:rPr>
          <w:rFonts w:ascii="宋体" w:hAnsi="宋体" w:hint="eastAsia"/>
          <w:sz w:val="28"/>
          <w:szCs w:val="28"/>
        </w:rPr>
        <w:t>%，其中：勘测设计咨询平均增长速度为</w:t>
      </w:r>
      <w:r w:rsidR="00CA5974">
        <w:rPr>
          <w:rFonts w:ascii="宋体" w:hAnsi="宋体" w:hint="eastAsia"/>
          <w:sz w:val="28"/>
          <w:szCs w:val="28"/>
        </w:rPr>
        <w:t>5.6</w:t>
      </w:r>
      <w:r w:rsidRPr="002C5D67">
        <w:rPr>
          <w:rFonts w:ascii="宋体" w:hAnsi="宋体" w:hint="eastAsia"/>
          <w:sz w:val="28"/>
          <w:szCs w:val="28"/>
        </w:rPr>
        <w:t>%，总承包平均增长速度为</w:t>
      </w:r>
      <w:r w:rsidR="00CA5974">
        <w:rPr>
          <w:rFonts w:ascii="宋体" w:hAnsi="宋体" w:hint="eastAsia"/>
          <w:sz w:val="28"/>
          <w:szCs w:val="28"/>
        </w:rPr>
        <w:t>28.7</w:t>
      </w:r>
      <w:r w:rsidRPr="002C5D67">
        <w:rPr>
          <w:rFonts w:ascii="宋体" w:hAnsi="宋体" w:hint="eastAsia"/>
          <w:sz w:val="28"/>
          <w:szCs w:val="28"/>
        </w:rPr>
        <w:t>%，直接反映了电力勘测设计行业从2005年以来，传统的勘测设计咨询业务平稳发展，总承包业务快速扩张，行业业务总量提高</w:t>
      </w:r>
      <w:r w:rsidR="00D75D73" w:rsidRPr="002C5D67">
        <w:rPr>
          <w:rFonts w:ascii="宋体" w:hAnsi="宋体" w:hint="eastAsia"/>
          <w:sz w:val="28"/>
          <w:szCs w:val="28"/>
        </w:rPr>
        <w:t>较</w:t>
      </w:r>
      <w:r w:rsidR="00D75D73">
        <w:rPr>
          <w:rFonts w:ascii="宋体" w:hAnsi="宋体" w:hint="eastAsia"/>
          <w:sz w:val="28"/>
          <w:szCs w:val="28"/>
        </w:rPr>
        <w:t>快</w:t>
      </w:r>
      <w:r w:rsidRPr="002C5D67">
        <w:rPr>
          <w:rFonts w:ascii="宋体" w:hAnsi="宋体" w:hint="eastAsia"/>
          <w:sz w:val="28"/>
          <w:szCs w:val="28"/>
        </w:rPr>
        <w:t>，</w:t>
      </w:r>
      <w:r w:rsidR="00D75D73">
        <w:rPr>
          <w:rFonts w:ascii="宋体" w:hAnsi="宋体" w:hint="eastAsia"/>
          <w:sz w:val="28"/>
          <w:szCs w:val="28"/>
        </w:rPr>
        <w:t>2013年以来，行业业务总量突破</w:t>
      </w:r>
      <w:r w:rsidRPr="002C5D67">
        <w:rPr>
          <w:rFonts w:ascii="宋体" w:hAnsi="宋体" w:hint="eastAsia"/>
          <w:sz w:val="28"/>
          <w:szCs w:val="28"/>
        </w:rPr>
        <w:t>千亿</w:t>
      </w:r>
      <w:r w:rsidR="00D75D73">
        <w:rPr>
          <w:rFonts w:ascii="宋体" w:hAnsi="宋体" w:hint="eastAsia"/>
          <w:sz w:val="28"/>
          <w:szCs w:val="28"/>
        </w:rPr>
        <w:t>大关</w:t>
      </w:r>
      <w:r w:rsidRPr="002C5D67">
        <w:rPr>
          <w:rFonts w:ascii="宋体" w:hAnsi="宋体" w:hint="eastAsia"/>
          <w:sz w:val="28"/>
          <w:szCs w:val="28"/>
        </w:rPr>
        <w:t>。</w:t>
      </w: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CA5974" w:rsidRPr="002C5D67" w:rsidRDefault="00CA5974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333FA3" w:rsidRPr="002C5D67" w:rsidRDefault="00333FA3" w:rsidP="00333FA3">
      <w:pPr>
        <w:pStyle w:val="3"/>
        <w:numPr>
          <w:ilvl w:val="0"/>
          <w:numId w:val="18"/>
        </w:numPr>
        <w:rPr>
          <w:rFonts w:ascii="宋体" w:hAnsi="宋体"/>
          <w:sz w:val="28"/>
          <w:szCs w:val="28"/>
        </w:rPr>
      </w:pPr>
      <w:bookmarkStart w:id="33" w:name="_Toc422233701"/>
      <w:bookmarkStart w:id="34" w:name="_Toc422235143"/>
      <w:bookmarkStart w:id="35" w:name="_Toc422233702"/>
      <w:bookmarkStart w:id="36" w:name="_Toc422235144"/>
      <w:bookmarkStart w:id="37" w:name="_Toc422233703"/>
      <w:bookmarkStart w:id="38" w:name="_Toc422235145"/>
      <w:bookmarkStart w:id="39" w:name="_Toc422233704"/>
      <w:bookmarkStart w:id="40" w:name="_Toc422235146"/>
      <w:bookmarkStart w:id="41" w:name="_Toc422233705"/>
      <w:bookmarkStart w:id="42" w:name="_Toc422235147"/>
      <w:bookmarkStart w:id="43" w:name="_Toc422233706"/>
      <w:bookmarkStart w:id="44" w:name="_Toc422235148"/>
      <w:bookmarkStart w:id="45" w:name="_Toc422233707"/>
      <w:bookmarkStart w:id="46" w:name="_Toc422235149"/>
      <w:bookmarkStart w:id="47" w:name="_Toc450668457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2C5D67">
        <w:rPr>
          <w:rFonts w:ascii="宋体" w:hAnsi="宋体" w:hint="eastAsia"/>
          <w:sz w:val="28"/>
          <w:szCs w:val="28"/>
        </w:rPr>
        <w:lastRenderedPageBreak/>
        <w:t>完成产值趋势</w:t>
      </w:r>
      <w:bookmarkEnd w:id="47"/>
    </w:p>
    <w:p w:rsidR="00333FA3" w:rsidRPr="002C5D67" w:rsidRDefault="00333FA3" w:rsidP="00CA5974">
      <w:pPr>
        <w:spacing w:line="360" w:lineRule="auto"/>
        <w:ind w:firstLineChars="1790" w:firstLine="5032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完成产值趋势分析                                     </w:t>
      </w:r>
      <w:r w:rsidRPr="002C5D67">
        <w:rPr>
          <w:rFonts w:ascii="宋体" w:hAnsi="宋体" w:hint="eastAsia"/>
          <w:b/>
          <w:szCs w:val="21"/>
        </w:rPr>
        <w:t>单位：亿元</w:t>
      </w:r>
    </w:p>
    <w:tbl>
      <w:tblPr>
        <w:tblW w:w="4912" w:type="pct"/>
        <w:jc w:val="center"/>
        <w:tblInd w:w="250" w:type="dxa"/>
        <w:tblLook w:val="04A0"/>
      </w:tblPr>
      <w:tblGrid>
        <w:gridCol w:w="1170"/>
        <w:gridCol w:w="1420"/>
        <w:gridCol w:w="1419"/>
        <w:gridCol w:w="1419"/>
        <w:gridCol w:w="1419"/>
        <w:gridCol w:w="1419"/>
        <w:gridCol w:w="1419"/>
        <w:gridCol w:w="1419"/>
        <w:gridCol w:w="997"/>
        <w:gridCol w:w="994"/>
        <w:gridCol w:w="986"/>
      </w:tblGrid>
      <w:tr w:rsidR="00CA5974" w:rsidRPr="002C5D67" w:rsidTr="00EE24B1">
        <w:trPr>
          <w:trHeight w:val="402"/>
          <w:jc w:val="center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2006年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2007年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2008年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2009年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2010年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2011年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2012年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2013年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974" w:rsidRPr="002C5D67" w:rsidRDefault="00CA5974" w:rsidP="00C6754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2014年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5974" w:rsidRPr="002C5D67" w:rsidRDefault="00CA5974" w:rsidP="00CA5974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2015年</w:t>
            </w:r>
          </w:p>
        </w:tc>
      </w:tr>
      <w:tr w:rsidR="00710104" w:rsidRPr="002C5D67" w:rsidTr="00EE24B1">
        <w:trPr>
          <w:trHeight w:val="402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完成产值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151.39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166.43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176.63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182.64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190.62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5E6F03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244.79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5E6F03">
            <w:pPr>
              <w:jc w:val="right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268.39</w:t>
            </w: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5E6F03">
            <w:pPr>
              <w:jc w:val="right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243.09</w:t>
            </w: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104" w:rsidRPr="00710104" w:rsidRDefault="00710104">
            <w:pPr>
              <w:jc w:val="right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245.3</w:t>
            </w:r>
            <w:r w:rsidR="005E6F03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</w:p>
        </w:tc>
      </w:tr>
      <w:tr w:rsidR="00710104" w:rsidRPr="002C5D67" w:rsidTr="00EE24B1">
        <w:trPr>
          <w:trHeight w:val="402"/>
          <w:jc w:val="center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上年对比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109.9%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106.1%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103.4%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2C5D67" w:rsidRDefault="00710104" w:rsidP="00C6754C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C5D67">
              <w:rPr>
                <w:rFonts w:ascii="宋体" w:hAnsi="宋体" w:cs="宋体" w:hint="eastAsia"/>
                <w:kern w:val="0"/>
                <w:sz w:val="22"/>
                <w:szCs w:val="22"/>
              </w:rPr>
              <w:t>104.4%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121%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106%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109%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91%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104" w:rsidRPr="00710104" w:rsidRDefault="00710104">
            <w:pPr>
              <w:jc w:val="center"/>
              <w:rPr>
                <w:rFonts w:asciiTheme="minorEastAsia" w:eastAsiaTheme="minorEastAsia" w:hAnsiTheme="minorEastAsia" w:cs="宋体"/>
                <w:sz w:val="22"/>
                <w:szCs w:val="22"/>
              </w:rPr>
            </w:pPr>
            <w:r w:rsidRPr="00710104">
              <w:rPr>
                <w:rFonts w:asciiTheme="minorEastAsia" w:eastAsiaTheme="minorEastAsia" w:hAnsiTheme="minorEastAsia" w:hint="eastAsia"/>
                <w:sz w:val="22"/>
                <w:szCs w:val="22"/>
              </w:rPr>
              <w:t>101%</w:t>
            </w:r>
          </w:p>
        </w:tc>
      </w:tr>
    </w:tbl>
    <w:p w:rsidR="00C6754C" w:rsidRPr="002C5D67" w:rsidRDefault="00C6754C" w:rsidP="00333FA3">
      <w:pPr>
        <w:ind w:rightChars="-451" w:right="-947"/>
        <w:rPr>
          <w:noProof/>
        </w:rPr>
      </w:pPr>
    </w:p>
    <w:p w:rsidR="00C6754C" w:rsidRPr="002C5D67" w:rsidRDefault="00C6754C" w:rsidP="00333FA3">
      <w:pPr>
        <w:ind w:rightChars="-451" w:right="-947"/>
        <w:rPr>
          <w:noProof/>
        </w:rPr>
      </w:pPr>
    </w:p>
    <w:p w:rsidR="00333FA3" w:rsidRPr="002C5D67" w:rsidRDefault="00710104" w:rsidP="00EE24B1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 w:rsidRPr="00710104">
        <w:rPr>
          <w:noProof/>
        </w:rPr>
        <w:drawing>
          <wp:inline distT="0" distB="0" distL="0" distR="0">
            <wp:extent cx="4419600" cy="2314575"/>
            <wp:effectExtent l="19050" t="0" r="19050" b="0"/>
            <wp:docPr id="69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Pr="00710104">
        <w:rPr>
          <w:noProof/>
        </w:rPr>
        <w:drawing>
          <wp:inline distT="0" distB="0" distL="0" distR="0">
            <wp:extent cx="4429125" cy="2314575"/>
            <wp:effectExtent l="19050" t="0" r="9525" b="0"/>
            <wp:docPr id="72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333FA3" w:rsidRPr="002C5D67" w:rsidRDefault="00333FA3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333FA3" w:rsidRPr="002C5D67" w:rsidRDefault="00333FA3" w:rsidP="00333F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7C79D7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年完成产值较上年</w:t>
      </w:r>
      <w:r w:rsidR="00A108C7" w:rsidRPr="002C5D67">
        <w:rPr>
          <w:rFonts w:ascii="宋体" w:hAnsi="宋体" w:hint="eastAsia"/>
          <w:sz w:val="28"/>
          <w:szCs w:val="28"/>
        </w:rPr>
        <w:t>减少</w:t>
      </w:r>
      <w:r w:rsidR="007C79D7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%（总承包产值按管理产值计列），2006年以来平均增长速度为</w:t>
      </w:r>
      <w:r w:rsidR="007C79D7">
        <w:rPr>
          <w:rFonts w:ascii="宋体" w:hAnsi="宋体" w:hint="eastAsia"/>
          <w:sz w:val="28"/>
          <w:szCs w:val="28"/>
        </w:rPr>
        <w:t>5</w:t>
      </w:r>
      <w:r w:rsidR="00A108C7" w:rsidRPr="002C5D67">
        <w:rPr>
          <w:rFonts w:ascii="宋体" w:hAnsi="宋体" w:hint="eastAsia"/>
          <w:sz w:val="28"/>
          <w:szCs w:val="28"/>
        </w:rPr>
        <w:t>.5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333FA3" w:rsidRPr="007C79D7" w:rsidRDefault="00333FA3" w:rsidP="00333FA3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333FA3" w:rsidRPr="002C5D67" w:rsidRDefault="00333FA3" w:rsidP="00333FA3">
      <w:pPr>
        <w:pStyle w:val="3"/>
        <w:numPr>
          <w:ilvl w:val="0"/>
          <w:numId w:val="18"/>
        </w:numPr>
        <w:spacing w:line="240" w:lineRule="auto"/>
        <w:rPr>
          <w:rFonts w:ascii="宋体" w:hAnsi="宋体"/>
          <w:sz w:val="28"/>
          <w:szCs w:val="28"/>
        </w:rPr>
      </w:pPr>
      <w:bookmarkStart w:id="48" w:name="_Toc450668458"/>
      <w:r w:rsidRPr="002C5D67">
        <w:rPr>
          <w:rFonts w:ascii="宋体" w:hAnsi="宋体" w:hint="eastAsia"/>
          <w:sz w:val="28"/>
          <w:szCs w:val="28"/>
        </w:rPr>
        <w:lastRenderedPageBreak/>
        <w:t>营业收入趋势</w:t>
      </w:r>
      <w:bookmarkEnd w:id="48"/>
    </w:p>
    <w:p w:rsidR="00333FA3" w:rsidRPr="002C5D67" w:rsidRDefault="00333FA3" w:rsidP="00333FA3">
      <w:pPr>
        <w:ind w:firstLineChars="1940" w:firstLine="5453"/>
        <w:rPr>
          <w:rFonts w:ascii="宋体" w:hAnsi="宋体"/>
          <w:b/>
          <w:szCs w:val="21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营业收入趋势分析           </w:t>
      </w:r>
      <w:r w:rsidR="00A108C7" w:rsidRPr="002C5D67">
        <w:rPr>
          <w:rFonts w:ascii="宋体" w:hAnsi="宋体" w:hint="eastAsia"/>
          <w:b/>
          <w:sz w:val="28"/>
          <w:szCs w:val="28"/>
        </w:rPr>
        <w:t xml:space="preserve">   </w:t>
      </w:r>
      <w:r w:rsidRPr="002C5D67">
        <w:rPr>
          <w:rFonts w:ascii="宋体" w:hAnsi="宋体" w:hint="eastAsia"/>
          <w:b/>
          <w:sz w:val="28"/>
          <w:szCs w:val="28"/>
        </w:rPr>
        <w:t xml:space="preserve">                    </w:t>
      </w:r>
      <w:r w:rsidRPr="002C5D67">
        <w:rPr>
          <w:rFonts w:ascii="宋体" w:hAnsi="宋体" w:hint="eastAsia"/>
          <w:b/>
          <w:szCs w:val="21"/>
        </w:rPr>
        <w:t>单位：亿元</w:t>
      </w:r>
    </w:p>
    <w:tbl>
      <w:tblPr>
        <w:tblW w:w="4847" w:type="pct"/>
        <w:jc w:val="center"/>
        <w:tblInd w:w="250" w:type="dxa"/>
        <w:tblLook w:val="04A0"/>
      </w:tblPr>
      <w:tblGrid>
        <w:gridCol w:w="1381"/>
        <w:gridCol w:w="1275"/>
        <w:gridCol w:w="1275"/>
        <w:gridCol w:w="1270"/>
        <w:gridCol w:w="1270"/>
        <w:gridCol w:w="1270"/>
        <w:gridCol w:w="1270"/>
        <w:gridCol w:w="1270"/>
        <w:gridCol w:w="1270"/>
        <w:gridCol w:w="1270"/>
        <w:gridCol w:w="1073"/>
      </w:tblGrid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2006年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2007年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2008年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2009年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2010年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2011年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2012年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2013年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2014年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2C5D67" w:rsidRDefault="00F666B5" w:rsidP="00F666B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2015年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营业收入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176.39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189.66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232.41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249.37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269.83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339.95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5E6F0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437.99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527.15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629.45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719.03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同比%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108%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108%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126%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125%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124%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119%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114%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境内收入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173.17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185.86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213.26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232.86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249.75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322.66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400.68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499.56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599.05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689.41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同比%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115%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109%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129%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124%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125%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115%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境外收入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3.22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3.8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19.15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16.51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20.08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17.29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5E6F0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24.86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5E6F03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27.58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30.4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 w:rsidP="008615B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29.6</w:t>
            </w:r>
            <w:r w:rsidR="008615BE"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</w:p>
        </w:tc>
      </w:tr>
      <w:tr w:rsidR="00F666B5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同比%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118%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504%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86%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122%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86%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132%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121%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66B5" w:rsidRPr="002C5D67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C5D67">
              <w:rPr>
                <w:rFonts w:asciiTheme="minorEastAsia" w:eastAsiaTheme="minorEastAsia" w:hAnsiTheme="minorEastAsia" w:hint="eastAsia"/>
                <w:sz w:val="20"/>
                <w:szCs w:val="20"/>
              </w:rPr>
              <w:t>110%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66B5" w:rsidRPr="00F666B5" w:rsidRDefault="00F666B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F666B5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</w:tr>
      <w:tr w:rsidR="004C4D42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2C5D67" w:rsidRDefault="004C4D42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总承包收入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26.98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66.63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82.03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93.37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108.26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124.24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223.28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305.83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410.17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495.66</w:t>
            </w:r>
          </w:p>
        </w:tc>
      </w:tr>
      <w:tr w:rsidR="004C4D42" w:rsidRPr="002C5D67" w:rsidTr="00EE24B1">
        <w:trPr>
          <w:trHeight w:val="420"/>
          <w:jc w:val="center"/>
        </w:trPr>
        <w:tc>
          <w:tcPr>
            <w:tcW w:w="4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D42" w:rsidRPr="002C5D67" w:rsidRDefault="004C4D42" w:rsidP="00A108C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同比%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247%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123%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114%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116%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115%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180%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137%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134%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4D42" w:rsidRPr="004C4D42" w:rsidRDefault="004C4D4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4C4D42">
              <w:rPr>
                <w:rFonts w:asciiTheme="minorEastAsia" w:eastAsiaTheme="minorEastAsia" w:hAnsiTheme="minorEastAsia" w:hint="eastAsia"/>
                <w:sz w:val="20"/>
                <w:szCs w:val="20"/>
              </w:rPr>
              <w:t>121%</w:t>
            </w:r>
          </w:p>
        </w:tc>
      </w:tr>
    </w:tbl>
    <w:p w:rsidR="00333FA3" w:rsidRPr="002C5D67" w:rsidRDefault="00333FA3" w:rsidP="00333FA3">
      <w:pPr>
        <w:spacing w:line="360" w:lineRule="auto"/>
        <w:ind w:firstLineChars="200" w:firstLine="560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F666B5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年与上年比较，营业收入较上年增长了</w:t>
      </w:r>
      <w:r w:rsidR="00F666B5">
        <w:rPr>
          <w:rFonts w:ascii="宋体" w:hAnsi="宋体" w:hint="eastAsia"/>
          <w:sz w:val="28"/>
          <w:szCs w:val="28"/>
        </w:rPr>
        <w:t>14</w:t>
      </w:r>
      <w:r w:rsidRPr="002C5D67">
        <w:rPr>
          <w:rFonts w:ascii="宋体" w:hAnsi="宋体" w:hint="eastAsia"/>
          <w:sz w:val="28"/>
          <w:szCs w:val="28"/>
        </w:rPr>
        <w:t>%，其中：境内收入增长</w:t>
      </w:r>
      <w:r w:rsidR="004B7492">
        <w:rPr>
          <w:rFonts w:ascii="宋体" w:hAnsi="宋体" w:hint="eastAsia"/>
          <w:sz w:val="28"/>
          <w:szCs w:val="28"/>
        </w:rPr>
        <w:t>15</w:t>
      </w:r>
      <w:r w:rsidRPr="002C5D67">
        <w:rPr>
          <w:rFonts w:ascii="宋体" w:hAnsi="宋体" w:hint="eastAsia"/>
          <w:sz w:val="28"/>
          <w:szCs w:val="28"/>
        </w:rPr>
        <w:t>%，境外收入</w:t>
      </w:r>
      <w:r w:rsidR="004B7492">
        <w:rPr>
          <w:rFonts w:ascii="宋体" w:hAnsi="宋体" w:hint="eastAsia"/>
          <w:sz w:val="28"/>
          <w:szCs w:val="28"/>
        </w:rPr>
        <w:t>减少3</w:t>
      </w:r>
      <w:r w:rsidRPr="002C5D67">
        <w:rPr>
          <w:rFonts w:ascii="宋体" w:hAnsi="宋体" w:hint="eastAsia"/>
          <w:sz w:val="28"/>
          <w:szCs w:val="28"/>
        </w:rPr>
        <w:t>%，总承包收入增长</w:t>
      </w:r>
      <w:r w:rsidR="004B7492">
        <w:rPr>
          <w:rFonts w:ascii="宋体" w:hAnsi="宋体" w:hint="eastAsia"/>
          <w:sz w:val="28"/>
          <w:szCs w:val="28"/>
        </w:rPr>
        <w:t>22</w:t>
      </w:r>
      <w:r w:rsidRPr="002C5D67">
        <w:rPr>
          <w:rFonts w:ascii="宋体" w:hAnsi="宋体" w:hint="eastAsia"/>
          <w:sz w:val="28"/>
          <w:szCs w:val="28"/>
        </w:rPr>
        <w:t>%。2006年以来，平均增长速度分别为：营业收入为</w:t>
      </w:r>
      <w:r w:rsidR="004B7492">
        <w:rPr>
          <w:rFonts w:ascii="宋体" w:hAnsi="宋体" w:hint="eastAsia"/>
          <w:sz w:val="28"/>
          <w:szCs w:val="28"/>
        </w:rPr>
        <w:t>16.9</w:t>
      </w:r>
      <w:r w:rsidRPr="002C5D67">
        <w:rPr>
          <w:rFonts w:ascii="宋体" w:hAnsi="宋体" w:hint="eastAsia"/>
          <w:sz w:val="28"/>
          <w:szCs w:val="28"/>
        </w:rPr>
        <w:t>%，境内收入为</w:t>
      </w:r>
      <w:r w:rsidR="004B7492">
        <w:rPr>
          <w:rFonts w:ascii="宋体" w:hAnsi="宋体" w:hint="eastAsia"/>
          <w:sz w:val="28"/>
          <w:szCs w:val="28"/>
        </w:rPr>
        <w:t>16.6</w:t>
      </w:r>
      <w:r w:rsidRPr="002C5D67">
        <w:rPr>
          <w:rFonts w:ascii="宋体" w:hAnsi="宋体" w:hint="eastAsia"/>
          <w:sz w:val="28"/>
          <w:szCs w:val="28"/>
        </w:rPr>
        <w:t>%，境外收入为</w:t>
      </w:r>
      <w:r w:rsidR="004B7492">
        <w:rPr>
          <w:rFonts w:ascii="宋体" w:hAnsi="宋体" w:hint="eastAsia"/>
          <w:sz w:val="28"/>
          <w:szCs w:val="28"/>
        </w:rPr>
        <w:t>28.0</w:t>
      </w:r>
      <w:r w:rsidRPr="002C5D67">
        <w:rPr>
          <w:rFonts w:ascii="宋体" w:hAnsi="宋体" w:hint="eastAsia"/>
          <w:sz w:val="28"/>
          <w:szCs w:val="28"/>
        </w:rPr>
        <w:t>%，总承包收入为</w:t>
      </w:r>
      <w:r w:rsidR="004C4D42">
        <w:rPr>
          <w:rFonts w:ascii="宋体" w:hAnsi="宋体" w:hint="eastAsia"/>
          <w:sz w:val="28"/>
          <w:szCs w:val="28"/>
        </w:rPr>
        <w:t>38.2</w:t>
      </w:r>
      <w:r w:rsidRPr="002C5D67">
        <w:rPr>
          <w:rFonts w:ascii="宋体" w:hAnsi="宋体" w:hint="eastAsia"/>
          <w:sz w:val="28"/>
          <w:szCs w:val="28"/>
        </w:rPr>
        <w:t>%。2006年以来，境外及总承包业务增长速度较快。</w:t>
      </w:r>
    </w:p>
    <w:p w:rsidR="00333FA3" w:rsidRPr="002C5D67" w:rsidRDefault="00333FA3" w:rsidP="00333FA3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CA75BF" w:rsidRDefault="004C4D42" w:rsidP="00EE24B1">
      <w:pPr>
        <w:jc w:val="center"/>
        <w:rPr>
          <w:noProof/>
        </w:rPr>
      </w:pPr>
      <w:r w:rsidRPr="004C4D42">
        <w:rPr>
          <w:noProof/>
        </w:rPr>
        <w:lastRenderedPageBreak/>
        <w:drawing>
          <wp:inline distT="0" distB="0" distL="0" distR="0">
            <wp:extent cx="8696325" cy="2695575"/>
            <wp:effectExtent l="19050" t="0" r="9525" b="0"/>
            <wp:docPr id="75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4C4D42" w:rsidRPr="002C5D67" w:rsidRDefault="004C4D42" w:rsidP="00EE24B1">
      <w:pPr>
        <w:jc w:val="center"/>
        <w:sectPr w:rsidR="004C4D42" w:rsidRPr="002C5D67" w:rsidSect="000776BD">
          <w:footerReference w:type="default" r:id="rId65"/>
          <w:pgSz w:w="16838" w:h="11906" w:orient="landscape"/>
          <w:pgMar w:top="1304" w:right="1474" w:bottom="1304" w:left="1247" w:header="851" w:footer="992" w:gutter="0"/>
          <w:cols w:space="425"/>
          <w:docGrid w:type="lines" w:linePitch="312"/>
        </w:sectPr>
      </w:pPr>
      <w:r w:rsidRPr="004C4D42">
        <w:rPr>
          <w:noProof/>
        </w:rPr>
        <w:drawing>
          <wp:inline distT="0" distB="0" distL="0" distR="0">
            <wp:extent cx="8696325" cy="2809875"/>
            <wp:effectExtent l="19050" t="0" r="9525" b="0"/>
            <wp:docPr id="78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5F2D" w:rsidRPr="002E360D" w:rsidRDefault="00C15F2D" w:rsidP="00C15F2D">
      <w:pPr>
        <w:pStyle w:val="2"/>
        <w:numPr>
          <w:ilvl w:val="0"/>
          <w:numId w:val="1"/>
        </w:numPr>
        <w:rPr>
          <w:rFonts w:ascii="宋体" w:eastAsia="宋体" w:hAnsi="宋体"/>
        </w:rPr>
      </w:pPr>
      <w:bookmarkStart w:id="49" w:name="_Toc450668459"/>
      <w:r w:rsidRPr="002E360D">
        <w:rPr>
          <w:rFonts w:ascii="宋体" w:eastAsia="宋体" w:hAnsi="宋体" w:hint="eastAsia"/>
        </w:rPr>
        <w:lastRenderedPageBreak/>
        <w:t>按隶属</w:t>
      </w:r>
      <w:r w:rsidR="000B773C" w:rsidRPr="002E360D">
        <w:rPr>
          <w:rFonts w:ascii="宋体" w:eastAsia="宋体" w:hAnsi="宋体" w:hint="eastAsia"/>
        </w:rPr>
        <w:t>等级</w:t>
      </w:r>
      <w:r w:rsidRPr="002E360D">
        <w:rPr>
          <w:rFonts w:ascii="宋体" w:eastAsia="宋体" w:hAnsi="宋体" w:hint="eastAsia"/>
        </w:rPr>
        <w:t>统计指标分析</w:t>
      </w:r>
      <w:bookmarkEnd w:id="49"/>
    </w:p>
    <w:p w:rsidR="00C15F2D" w:rsidRPr="002C5D67" w:rsidRDefault="00C15F2D" w:rsidP="00C15F2D">
      <w:pPr>
        <w:pStyle w:val="3"/>
        <w:numPr>
          <w:ilvl w:val="0"/>
          <w:numId w:val="2"/>
        </w:numPr>
        <w:rPr>
          <w:rFonts w:ascii="宋体" w:hAnsi="宋体"/>
          <w:sz w:val="28"/>
          <w:szCs w:val="28"/>
        </w:rPr>
      </w:pPr>
      <w:bookmarkStart w:id="50" w:name="_Toc450668460"/>
      <w:r w:rsidRPr="002C5D67">
        <w:rPr>
          <w:rFonts w:ascii="宋体" w:hAnsi="宋体" w:hint="eastAsia"/>
          <w:sz w:val="28"/>
          <w:szCs w:val="28"/>
        </w:rPr>
        <w:t>人力资源情况</w:t>
      </w:r>
      <w:bookmarkEnd w:id="50"/>
    </w:p>
    <w:p w:rsidR="00C15F2D" w:rsidRPr="002C5D67" w:rsidRDefault="00C15F2D" w:rsidP="00C15F2D">
      <w:pPr>
        <w:numPr>
          <w:ilvl w:val="1"/>
          <w:numId w:val="2"/>
        </w:numPr>
        <w:spacing w:line="360" w:lineRule="auto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人员构成情况</w:t>
      </w:r>
    </w:p>
    <w:p w:rsidR="00C15F2D" w:rsidRDefault="00C15F2D" w:rsidP="00C15F2D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201</w:t>
      </w:r>
      <w:r w:rsidR="00705086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年人员总体结构情况分析</w:t>
      </w:r>
    </w:p>
    <w:tbl>
      <w:tblPr>
        <w:tblW w:w="0" w:type="auto"/>
        <w:jc w:val="center"/>
        <w:tblInd w:w="108" w:type="dxa"/>
        <w:tblLook w:val="04A0"/>
      </w:tblPr>
      <w:tblGrid>
        <w:gridCol w:w="399"/>
        <w:gridCol w:w="592"/>
        <w:gridCol w:w="666"/>
        <w:gridCol w:w="576"/>
        <w:gridCol w:w="576"/>
        <w:gridCol w:w="666"/>
        <w:gridCol w:w="576"/>
        <w:gridCol w:w="600"/>
        <w:gridCol w:w="576"/>
        <w:gridCol w:w="666"/>
        <w:gridCol w:w="576"/>
        <w:gridCol w:w="600"/>
        <w:gridCol w:w="576"/>
        <w:gridCol w:w="576"/>
        <w:gridCol w:w="576"/>
        <w:gridCol w:w="600"/>
        <w:gridCol w:w="576"/>
      </w:tblGrid>
      <w:tr w:rsidR="00705086" w:rsidRPr="00705086" w:rsidTr="00EE24B1">
        <w:trPr>
          <w:trHeight w:val="402"/>
          <w:jc w:val="center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年末职工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专业技术人员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生产人员</w:t>
            </w:r>
          </w:p>
        </w:tc>
        <w:tc>
          <w:tcPr>
            <w:tcW w:w="21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注册执业人员</w:t>
            </w:r>
          </w:p>
        </w:tc>
      </w:tr>
      <w:tr w:rsidR="00705086" w:rsidRPr="00705086" w:rsidTr="00EE24B1">
        <w:trPr>
          <w:trHeight w:val="600"/>
          <w:jc w:val="center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33509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27645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27270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28%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103%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28%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107%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19408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16110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15924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30%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105%</w:t>
            </w:r>
          </w:p>
        </w:tc>
      </w:tr>
      <w:tr w:rsidR="00705086" w:rsidRPr="00705086" w:rsidTr="00EE24B1">
        <w:trPr>
          <w:trHeight w:val="465"/>
          <w:jc w:val="center"/>
        </w:trPr>
        <w:tc>
          <w:tcPr>
            <w:tcW w:w="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21%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88%</w:t>
            </w:r>
          </w:p>
        </w:tc>
      </w:tr>
    </w:tbl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年，年末职工总人数</w:t>
      </w:r>
      <w:r w:rsidR="00F9741A">
        <w:rPr>
          <w:rFonts w:ascii="宋体" w:hAnsi="宋体" w:hint="eastAsia"/>
          <w:sz w:val="28"/>
          <w:szCs w:val="28"/>
        </w:rPr>
        <w:t>33</w:t>
      </w:r>
      <w:r w:rsidR="00705086">
        <w:rPr>
          <w:rFonts w:ascii="宋体" w:hAnsi="宋体" w:hint="eastAsia"/>
          <w:sz w:val="28"/>
          <w:szCs w:val="28"/>
        </w:rPr>
        <w:t>509</w:t>
      </w:r>
      <w:r w:rsidRPr="002C5D67">
        <w:rPr>
          <w:rFonts w:ascii="宋体" w:hAnsi="宋体" w:hint="eastAsia"/>
          <w:sz w:val="28"/>
          <w:szCs w:val="28"/>
        </w:rPr>
        <w:t>人，同比</w:t>
      </w:r>
      <w:r w:rsidR="00705086">
        <w:rPr>
          <w:rFonts w:ascii="宋体" w:hAnsi="宋体" w:hint="eastAsia"/>
          <w:sz w:val="28"/>
          <w:szCs w:val="28"/>
        </w:rPr>
        <w:t>减少1</w:t>
      </w:r>
      <w:r w:rsidRPr="002C5D67">
        <w:rPr>
          <w:rFonts w:ascii="宋体" w:hAnsi="宋体" w:hint="eastAsia"/>
          <w:sz w:val="28"/>
          <w:szCs w:val="28"/>
        </w:rPr>
        <w:t>%，主要原因是</w:t>
      </w:r>
      <w:r w:rsidR="00705086">
        <w:rPr>
          <w:rFonts w:ascii="宋体" w:hAnsi="宋体" w:hint="eastAsia"/>
          <w:sz w:val="28"/>
          <w:szCs w:val="28"/>
        </w:rPr>
        <w:t>顾问集团减少3%，供电院及其它设计院减少8%。</w:t>
      </w:r>
      <w:r w:rsidRPr="002C5D67">
        <w:rPr>
          <w:rFonts w:ascii="宋体" w:hAnsi="宋体" w:hint="eastAsia"/>
          <w:sz w:val="28"/>
          <w:szCs w:val="28"/>
        </w:rPr>
        <w:t>其中：顾问集团</w:t>
      </w:r>
      <w:r w:rsidR="00705086">
        <w:rPr>
          <w:rFonts w:ascii="宋体" w:hAnsi="宋体" w:hint="eastAsia"/>
          <w:sz w:val="28"/>
          <w:szCs w:val="28"/>
        </w:rPr>
        <w:t>8358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67160E" w:rsidRPr="002C5D67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%；省级设计院</w:t>
      </w:r>
      <w:r w:rsidR="00705086">
        <w:rPr>
          <w:rFonts w:ascii="宋体" w:hAnsi="宋体" w:hint="eastAsia"/>
          <w:sz w:val="28"/>
          <w:szCs w:val="28"/>
        </w:rPr>
        <w:t>19408</w:t>
      </w:r>
      <w:r w:rsidRPr="002C5D67">
        <w:rPr>
          <w:rFonts w:ascii="宋体" w:hAnsi="宋体" w:hint="eastAsia"/>
          <w:sz w:val="28"/>
          <w:szCs w:val="28"/>
        </w:rPr>
        <w:t>人，占5</w:t>
      </w:r>
      <w:r w:rsidR="00705086">
        <w:rPr>
          <w:rFonts w:ascii="宋体" w:hAnsi="宋体" w:hint="eastAsia"/>
          <w:sz w:val="28"/>
          <w:szCs w:val="28"/>
        </w:rPr>
        <w:t>8</w:t>
      </w:r>
      <w:r w:rsidRPr="002C5D67">
        <w:rPr>
          <w:rFonts w:ascii="宋体" w:hAnsi="宋体" w:hint="eastAsia"/>
          <w:sz w:val="28"/>
          <w:szCs w:val="28"/>
        </w:rPr>
        <w:t>%；供电及其他设计院</w:t>
      </w:r>
      <w:r w:rsidR="00705086">
        <w:rPr>
          <w:rFonts w:ascii="宋体" w:hAnsi="宋体" w:hint="eastAsia"/>
          <w:sz w:val="28"/>
          <w:szCs w:val="28"/>
        </w:rPr>
        <w:t>5743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B33EBF" w:rsidRPr="002C5D67">
        <w:rPr>
          <w:rFonts w:ascii="宋体" w:hAnsi="宋体" w:hint="eastAsia"/>
          <w:sz w:val="28"/>
          <w:szCs w:val="28"/>
        </w:rPr>
        <w:t>1</w:t>
      </w:r>
      <w:r w:rsidR="00705086">
        <w:rPr>
          <w:rFonts w:ascii="宋体" w:hAnsi="宋体" w:hint="eastAsia"/>
          <w:sz w:val="28"/>
          <w:szCs w:val="28"/>
        </w:rPr>
        <w:t>7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C15F2D" w:rsidRPr="002C5D67" w:rsidRDefault="00705086" w:rsidP="00705086">
      <w:pPr>
        <w:spacing w:line="360" w:lineRule="auto"/>
        <w:ind w:firstLineChars="300" w:firstLine="840"/>
        <w:rPr>
          <w:rFonts w:ascii="宋体" w:hAnsi="宋体"/>
          <w:sz w:val="28"/>
          <w:szCs w:val="28"/>
        </w:rPr>
      </w:pPr>
      <w:r w:rsidRPr="00705086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019675" cy="2457450"/>
            <wp:effectExtent l="19050" t="0" r="9525" b="0"/>
            <wp:docPr id="9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15F2D" w:rsidRPr="002C5D67" w:rsidRDefault="00C15F2D" w:rsidP="00C15F2D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专业技术人员分析</w:t>
      </w:r>
    </w:p>
    <w:p w:rsidR="00C15F2D" w:rsidRPr="002C5D67" w:rsidRDefault="00C15F2D" w:rsidP="00C15F2D">
      <w:pPr>
        <w:spacing w:line="360" w:lineRule="auto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201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年，年末专业技术人员总数</w:t>
      </w:r>
      <w:r w:rsidR="0067160E" w:rsidRPr="002C5D67">
        <w:rPr>
          <w:rFonts w:ascii="宋体" w:hAnsi="宋体" w:hint="eastAsia"/>
          <w:sz w:val="28"/>
          <w:szCs w:val="28"/>
        </w:rPr>
        <w:t>2</w:t>
      </w:r>
      <w:r w:rsidR="00705086">
        <w:rPr>
          <w:rFonts w:ascii="宋体" w:hAnsi="宋体" w:hint="eastAsia"/>
          <w:sz w:val="28"/>
          <w:szCs w:val="28"/>
        </w:rPr>
        <w:t>7645</w:t>
      </w:r>
      <w:r w:rsidRPr="002C5D67">
        <w:rPr>
          <w:rFonts w:ascii="宋体" w:hAnsi="宋体" w:hint="eastAsia"/>
          <w:sz w:val="28"/>
          <w:szCs w:val="28"/>
        </w:rPr>
        <w:t>人，同比</w:t>
      </w:r>
      <w:r w:rsidR="00D47393" w:rsidRPr="002C5D67">
        <w:rPr>
          <w:rFonts w:ascii="宋体" w:hAnsi="宋体" w:hint="eastAsia"/>
          <w:sz w:val="28"/>
          <w:szCs w:val="28"/>
        </w:rPr>
        <w:t>增</w:t>
      </w:r>
      <w:r w:rsidR="00D47393">
        <w:rPr>
          <w:rFonts w:ascii="宋体" w:hAnsi="宋体" w:hint="eastAsia"/>
          <w:sz w:val="28"/>
          <w:szCs w:val="28"/>
        </w:rPr>
        <w:t>长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%，占行业职工总数的</w:t>
      </w:r>
      <w:r w:rsidR="00705086">
        <w:rPr>
          <w:rFonts w:ascii="宋体" w:hAnsi="宋体" w:hint="eastAsia"/>
          <w:sz w:val="28"/>
          <w:szCs w:val="28"/>
        </w:rPr>
        <w:t>83</w:t>
      </w:r>
      <w:r w:rsidRPr="002C5D67">
        <w:rPr>
          <w:rFonts w:ascii="宋体" w:hAnsi="宋体" w:hint="eastAsia"/>
          <w:sz w:val="28"/>
          <w:szCs w:val="28"/>
        </w:rPr>
        <w:t>%。其中：顾问集团</w:t>
      </w:r>
      <w:r w:rsidR="00705086">
        <w:rPr>
          <w:rFonts w:ascii="宋体" w:hAnsi="宋体" w:hint="eastAsia"/>
          <w:sz w:val="28"/>
          <w:szCs w:val="28"/>
        </w:rPr>
        <w:t>7280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705086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%；省级设计院</w:t>
      </w:r>
      <w:r w:rsidR="00705086">
        <w:rPr>
          <w:rFonts w:ascii="宋体" w:hAnsi="宋体" w:hint="eastAsia"/>
          <w:sz w:val="28"/>
          <w:szCs w:val="28"/>
        </w:rPr>
        <w:t>16110</w:t>
      </w:r>
      <w:r w:rsidRPr="002C5D67">
        <w:rPr>
          <w:rFonts w:ascii="宋体" w:hAnsi="宋体" w:hint="eastAsia"/>
          <w:sz w:val="28"/>
          <w:szCs w:val="28"/>
        </w:rPr>
        <w:t>人，占5</w:t>
      </w:r>
      <w:r w:rsidR="00705086">
        <w:rPr>
          <w:rFonts w:ascii="宋体" w:hAnsi="宋体" w:hint="eastAsia"/>
          <w:sz w:val="28"/>
          <w:szCs w:val="28"/>
        </w:rPr>
        <w:t>8</w:t>
      </w:r>
      <w:r w:rsidRPr="002C5D67">
        <w:rPr>
          <w:rFonts w:ascii="宋体" w:hAnsi="宋体" w:hint="eastAsia"/>
          <w:sz w:val="28"/>
          <w:szCs w:val="28"/>
        </w:rPr>
        <w:t>%；供电及其它设计院</w:t>
      </w:r>
      <w:r w:rsidR="00705086">
        <w:rPr>
          <w:rFonts w:ascii="宋体" w:hAnsi="宋体" w:hint="eastAsia"/>
          <w:sz w:val="28"/>
          <w:szCs w:val="28"/>
        </w:rPr>
        <w:t>4255</w:t>
      </w:r>
      <w:r w:rsidRPr="002C5D67">
        <w:rPr>
          <w:rFonts w:ascii="宋体" w:hAnsi="宋体" w:hint="eastAsia"/>
          <w:sz w:val="28"/>
          <w:szCs w:val="28"/>
        </w:rPr>
        <w:t>人，占1</w:t>
      </w:r>
      <w:r w:rsidR="00705086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C15F2D" w:rsidRPr="002C5D67" w:rsidRDefault="00705086" w:rsidP="00EE24B1">
      <w:pPr>
        <w:spacing w:line="360" w:lineRule="auto"/>
        <w:ind w:firstLineChars="100" w:firstLine="280"/>
        <w:jc w:val="center"/>
        <w:rPr>
          <w:rFonts w:ascii="宋体" w:hAnsi="宋体"/>
          <w:sz w:val="28"/>
          <w:szCs w:val="28"/>
        </w:rPr>
      </w:pPr>
      <w:r w:rsidRPr="00705086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486400" cy="2557145"/>
            <wp:effectExtent l="19050" t="0" r="19050" b="0"/>
            <wp:docPr id="3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15F2D" w:rsidRPr="002C5D67" w:rsidRDefault="00C15F2D" w:rsidP="00C15F2D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t>生产人员分析</w:t>
      </w:r>
    </w:p>
    <w:p w:rsidR="00C15F2D" w:rsidRPr="002C5D67" w:rsidRDefault="00C15F2D" w:rsidP="00C15F2D">
      <w:pPr>
        <w:spacing w:line="360" w:lineRule="auto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201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年，年末生产人员总数</w:t>
      </w:r>
      <w:r w:rsidR="00705086">
        <w:rPr>
          <w:rFonts w:ascii="宋体" w:hAnsi="宋体" w:hint="eastAsia"/>
          <w:sz w:val="28"/>
          <w:szCs w:val="28"/>
        </w:rPr>
        <w:t>27270</w:t>
      </w:r>
      <w:r w:rsidRPr="002C5D67">
        <w:rPr>
          <w:rFonts w:ascii="宋体" w:hAnsi="宋体" w:hint="eastAsia"/>
          <w:sz w:val="28"/>
          <w:szCs w:val="28"/>
        </w:rPr>
        <w:t>人，同比</w:t>
      </w:r>
      <w:r w:rsidR="00D47393" w:rsidRPr="002C5D67">
        <w:rPr>
          <w:rFonts w:ascii="宋体" w:hAnsi="宋体" w:hint="eastAsia"/>
          <w:sz w:val="28"/>
          <w:szCs w:val="28"/>
        </w:rPr>
        <w:t>增</w:t>
      </w:r>
      <w:r w:rsidR="00D47393">
        <w:rPr>
          <w:rFonts w:ascii="宋体" w:hAnsi="宋体" w:hint="eastAsia"/>
          <w:sz w:val="28"/>
          <w:szCs w:val="28"/>
        </w:rPr>
        <w:t>长</w:t>
      </w:r>
      <w:r w:rsidR="00705086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%，占行业职工总数的</w:t>
      </w:r>
      <w:r w:rsidR="00705086">
        <w:rPr>
          <w:rFonts w:ascii="宋体" w:hAnsi="宋体" w:hint="eastAsia"/>
          <w:sz w:val="28"/>
          <w:szCs w:val="28"/>
        </w:rPr>
        <w:t>81</w:t>
      </w:r>
      <w:r w:rsidRPr="002C5D67">
        <w:rPr>
          <w:rFonts w:ascii="宋体" w:hAnsi="宋体" w:hint="eastAsia"/>
          <w:sz w:val="28"/>
          <w:szCs w:val="28"/>
        </w:rPr>
        <w:t>%。其中：顾问集团</w:t>
      </w:r>
      <w:r w:rsidR="00705086">
        <w:rPr>
          <w:rFonts w:ascii="宋体" w:hAnsi="宋体" w:hint="eastAsia"/>
          <w:sz w:val="28"/>
          <w:szCs w:val="28"/>
        </w:rPr>
        <w:t>7017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705086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%；省级设计院</w:t>
      </w:r>
      <w:r w:rsidR="00705086">
        <w:rPr>
          <w:rFonts w:ascii="宋体" w:hAnsi="宋体" w:hint="eastAsia"/>
          <w:sz w:val="28"/>
          <w:szCs w:val="28"/>
        </w:rPr>
        <w:t>15924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FD4C24" w:rsidRPr="002C5D67">
        <w:rPr>
          <w:rFonts w:ascii="宋体" w:hAnsi="宋体" w:hint="eastAsia"/>
          <w:sz w:val="28"/>
          <w:szCs w:val="28"/>
        </w:rPr>
        <w:t>5</w:t>
      </w:r>
      <w:r w:rsidR="00705086">
        <w:rPr>
          <w:rFonts w:ascii="宋体" w:hAnsi="宋体" w:hint="eastAsia"/>
          <w:sz w:val="28"/>
          <w:szCs w:val="28"/>
        </w:rPr>
        <w:t>8</w:t>
      </w:r>
      <w:r w:rsidRPr="002C5D67">
        <w:rPr>
          <w:rFonts w:ascii="宋体" w:hAnsi="宋体" w:hint="eastAsia"/>
          <w:sz w:val="28"/>
          <w:szCs w:val="28"/>
        </w:rPr>
        <w:t>%；供电及其它设计院</w:t>
      </w:r>
      <w:r w:rsidR="00705086">
        <w:rPr>
          <w:rFonts w:ascii="宋体" w:hAnsi="宋体" w:hint="eastAsia"/>
          <w:sz w:val="28"/>
          <w:szCs w:val="28"/>
        </w:rPr>
        <w:t>4329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705086">
        <w:rPr>
          <w:rFonts w:ascii="宋体" w:hAnsi="宋体" w:hint="eastAsia"/>
          <w:sz w:val="28"/>
          <w:szCs w:val="28"/>
        </w:rPr>
        <w:t>16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C15F2D" w:rsidRPr="002C5D67" w:rsidRDefault="00705086" w:rsidP="00EE24B1">
      <w:pPr>
        <w:spacing w:line="360" w:lineRule="auto"/>
        <w:jc w:val="center"/>
      </w:pPr>
      <w:r w:rsidRPr="00705086">
        <w:rPr>
          <w:noProof/>
        </w:rPr>
        <w:drawing>
          <wp:inline distT="0" distB="0" distL="0" distR="0">
            <wp:extent cx="5486400" cy="2865120"/>
            <wp:effectExtent l="19050" t="0" r="19050" b="0"/>
            <wp:docPr id="3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EF0452" w:rsidRDefault="00EF0452" w:rsidP="00C15F2D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C15F2D" w:rsidRPr="002C5D67" w:rsidRDefault="00C15F2D" w:rsidP="00C15F2D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注册执业人员</w:t>
      </w:r>
    </w:p>
    <w:p w:rsidR="00C15F2D" w:rsidRPr="002C5D67" w:rsidRDefault="00C15F2D" w:rsidP="00C15F2D">
      <w:pPr>
        <w:spacing w:line="360" w:lineRule="auto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201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年，年末注册执业人员</w:t>
      </w:r>
      <w:r w:rsidR="00705086">
        <w:rPr>
          <w:rFonts w:ascii="宋体" w:hAnsi="宋体" w:hint="eastAsia"/>
          <w:sz w:val="28"/>
          <w:szCs w:val="28"/>
        </w:rPr>
        <w:t>9277</w:t>
      </w:r>
      <w:r w:rsidRPr="002C5D67">
        <w:rPr>
          <w:rFonts w:ascii="宋体" w:hAnsi="宋体" w:hint="eastAsia"/>
          <w:sz w:val="28"/>
          <w:szCs w:val="28"/>
        </w:rPr>
        <w:t>人次，同比</w:t>
      </w:r>
      <w:r w:rsidR="00A101BD" w:rsidRPr="002C5D67">
        <w:rPr>
          <w:rFonts w:ascii="宋体" w:hAnsi="宋体" w:hint="eastAsia"/>
          <w:sz w:val="28"/>
          <w:szCs w:val="28"/>
        </w:rPr>
        <w:t>增</w:t>
      </w:r>
      <w:r w:rsidR="00A101BD">
        <w:rPr>
          <w:rFonts w:ascii="宋体" w:hAnsi="宋体" w:hint="eastAsia"/>
          <w:sz w:val="28"/>
          <w:szCs w:val="28"/>
        </w:rPr>
        <w:t>长</w:t>
      </w:r>
      <w:r w:rsidR="00705086">
        <w:rPr>
          <w:rFonts w:ascii="宋体" w:hAnsi="宋体" w:hint="eastAsia"/>
          <w:sz w:val="28"/>
          <w:szCs w:val="28"/>
        </w:rPr>
        <w:t>3</w:t>
      </w:r>
      <w:r w:rsidRPr="002C5D67">
        <w:rPr>
          <w:rFonts w:ascii="宋体" w:hAnsi="宋体" w:hint="eastAsia"/>
          <w:sz w:val="28"/>
          <w:szCs w:val="28"/>
        </w:rPr>
        <w:t>%，</w:t>
      </w:r>
      <w:r w:rsidR="00705086">
        <w:rPr>
          <w:rFonts w:ascii="宋体" w:hAnsi="宋体" w:hint="eastAsia"/>
          <w:sz w:val="28"/>
          <w:szCs w:val="28"/>
        </w:rPr>
        <w:t>高</w:t>
      </w:r>
      <w:r w:rsidRPr="002C5D67">
        <w:rPr>
          <w:rFonts w:ascii="宋体" w:hAnsi="宋体" w:hint="eastAsia"/>
          <w:sz w:val="28"/>
          <w:szCs w:val="28"/>
        </w:rPr>
        <w:t>于行业职工总数增长率，占职工总数的</w:t>
      </w:r>
      <w:r w:rsidR="00705086">
        <w:rPr>
          <w:rFonts w:ascii="宋体" w:hAnsi="宋体" w:hint="eastAsia"/>
          <w:sz w:val="28"/>
          <w:szCs w:val="28"/>
        </w:rPr>
        <w:t>28</w:t>
      </w:r>
      <w:r w:rsidRPr="002C5D67">
        <w:rPr>
          <w:rFonts w:ascii="宋体" w:hAnsi="宋体" w:hint="eastAsia"/>
          <w:sz w:val="28"/>
          <w:szCs w:val="28"/>
        </w:rPr>
        <w:t>%。其中：顾问集团</w:t>
      </w:r>
      <w:r w:rsidR="00705086">
        <w:rPr>
          <w:rFonts w:ascii="宋体" w:hAnsi="宋体" w:hint="eastAsia"/>
          <w:sz w:val="28"/>
          <w:szCs w:val="28"/>
        </w:rPr>
        <w:t>2267</w:t>
      </w:r>
      <w:r w:rsidRPr="002C5D67">
        <w:rPr>
          <w:rFonts w:ascii="宋体" w:hAnsi="宋体" w:hint="eastAsia"/>
          <w:sz w:val="28"/>
          <w:szCs w:val="28"/>
        </w:rPr>
        <w:t>人次，占</w:t>
      </w:r>
      <w:r w:rsidR="00705086">
        <w:rPr>
          <w:rFonts w:ascii="宋体" w:hAnsi="宋体" w:hint="eastAsia"/>
          <w:sz w:val="28"/>
          <w:szCs w:val="28"/>
        </w:rPr>
        <w:t>26</w:t>
      </w:r>
      <w:r w:rsidRPr="002C5D67">
        <w:rPr>
          <w:rFonts w:ascii="宋体" w:hAnsi="宋体" w:hint="eastAsia"/>
          <w:sz w:val="28"/>
          <w:szCs w:val="28"/>
        </w:rPr>
        <w:t>%；省属设计院</w:t>
      </w:r>
      <w:r w:rsidR="00705086">
        <w:rPr>
          <w:rFonts w:ascii="宋体" w:hAnsi="宋体" w:hint="eastAsia"/>
          <w:sz w:val="28"/>
          <w:szCs w:val="28"/>
        </w:rPr>
        <w:t>5730</w:t>
      </w:r>
      <w:r w:rsidRPr="002C5D67">
        <w:rPr>
          <w:rFonts w:ascii="宋体" w:hAnsi="宋体" w:hint="eastAsia"/>
          <w:sz w:val="28"/>
          <w:szCs w:val="28"/>
        </w:rPr>
        <w:t>人次，占6</w:t>
      </w:r>
      <w:r w:rsidR="00705086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%；供电及其它设计院</w:t>
      </w:r>
      <w:r w:rsidR="00705086">
        <w:rPr>
          <w:rFonts w:ascii="宋体" w:hAnsi="宋体" w:hint="eastAsia"/>
          <w:sz w:val="28"/>
          <w:szCs w:val="28"/>
        </w:rPr>
        <w:t>1180</w:t>
      </w:r>
      <w:r w:rsidRPr="002C5D67">
        <w:rPr>
          <w:rFonts w:ascii="宋体" w:hAnsi="宋体" w:hint="eastAsia"/>
          <w:sz w:val="28"/>
          <w:szCs w:val="28"/>
        </w:rPr>
        <w:t>人次，占</w:t>
      </w:r>
      <w:r w:rsidR="00705086">
        <w:rPr>
          <w:rFonts w:ascii="宋体" w:hAnsi="宋体" w:hint="eastAsia"/>
          <w:sz w:val="28"/>
          <w:szCs w:val="28"/>
        </w:rPr>
        <w:t>13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注册执业人员较上年同比</w:t>
      </w:r>
      <w:r w:rsidR="00A101BD">
        <w:rPr>
          <w:rFonts w:ascii="宋体" w:hAnsi="宋体" w:hint="eastAsia"/>
          <w:sz w:val="28"/>
          <w:szCs w:val="28"/>
        </w:rPr>
        <w:t>增长</w:t>
      </w:r>
      <w:r w:rsidR="00705086">
        <w:rPr>
          <w:rFonts w:ascii="宋体" w:hAnsi="宋体" w:hint="eastAsia"/>
          <w:sz w:val="28"/>
          <w:szCs w:val="28"/>
        </w:rPr>
        <w:t>3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Pr="002C5D67">
        <w:rPr>
          <w:rFonts w:ascii="宋体" w:hAnsi="宋体" w:hint="eastAsia"/>
          <w:sz w:val="28"/>
          <w:szCs w:val="28"/>
        </w:rPr>
        <w:t>，其中：顾问集团增加</w:t>
      </w:r>
      <w:r w:rsidR="00705086">
        <w:rPr>
          <w:rFonts w:ascii="宋体" w:hAnsi="宋体" w:hint="eastAsia"/>
          <w:sz w:val="28"/>
          <w:szCs w:val="28"/>
        </w:rPr>
        <w:t>7</w:t>
      </w:r>
      <w:r w:rsidRPr="002C5D67">
        <w:rPr>
          <w:rFonts w:ascii="宋体" w:hAnsi="宋体" w:hint="eastAsia"/>
          <w:sz w:val="28"/>
          <w:szCs w:val="28"/>
        </w:rPr>
        <w:t>%，省属设计院增加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%，供电及其他设计院</w:t>
      </w:r>
      <w:r w:rsidR="00433E78" w:rsidRPr="002C5D67">
        <w:rPr>
          <w:rFonts w:ascii="宋体" w:hAnsi="宋体" w:hint="eastAsia"/>
          <w:sz w:val="28"/>
          <w:szCs w:val="28"/>
        </w:rPr>
        <w:t>却</w:t>
      </w:r>
      <w:r w:rsidR="000802FF" w:rsidRPr="002C5D67">
        <w:rPr>
          <w:rFonts w:ascii="宋体" w:hAnsi="宋体" w:hint="eastAsia"/>
          <w:sz w:val="28"/>
          <w:szCs w:val="28"/>
        </w:rPr>
        <w:t>减少</w:t>
      </w:r>
      <w:r w:rsidR="00705086">
        <w:rPr>
          <w:rFonts w:ascii="宋体" w:hAnsi="宋体" w:hint="eastAsia"/>
          <w:sz w:val="28"/>
          <w:szCs w:val="28"/>
        </w:rPr>
        <w:t>12</w:t>
      </w:r>
      <w:r w:rsidRPr="002C5D67">
        <w:rPr>
          <w:rFonts w:ascii="宋体" w:hAnsi="宋体" w:hint="eastAsia"/>
          <w:sz w:val="28"/>
          <w:szCs w:val="28"/>
        </w:rPr>
        <w:t>%，</w:t>
      </w:r>
      <w:r w:rsidR="000802FF" w:rsidRPr="002C5D67">
        <w:rPr>
          <w:rFonts w:ascii="宋体" w:hAnsi="宋体" w:hint="eastAsia"/>
          <w:sz w:val="28"/>
          <w:szCs w:val="28"/>
        </w:rPr>
        <w:t>顾问集团</w:t>
      </w:r>
      <w:r w:rsidRPr="002C5D67">
        <w:rPr>
          <w:rFonts w:ascii="宋体" w:hAnsi="宋体" w:hint="eastAsia"/>
          <w:sz w:val="28"/>
          <w:szCs w:val="28"/>
        </w:rPr>
        <w:t>增幅最大。</w:t>
      </w:r>
    </w:p>
    <w:p w:rsidR="00C15F2D" w:rsidRDefault="00C15F2D" w:rsidP="00C15F2D">
      <w:pPr>
        <w:spacing w:line="360" w:lineRule="auto"/>
        <w:rPr>
          <w:rFonts w:ascii="宋体" w:hAnsi="宋体"/>
          <w:b/>
          <w:noProof/>
          <w:sz w:val="28"/>
          <w:szCs w:val="28"/>
        </w:rPr>
      </w:pPr>
    </w:p>
    <w:p w:rsidR="00705086" w:rsidRPr="002C5D67" w:rsidRDefault="00705086" w:rsidP="00EE24B1">
      <w:pPr>
        <w:spacing w:line="360" w:lineRule="auto"/>
        <w:jc w:val="center"/>
        <w:rPr>
          <w:rFonts w:ascii="宋体" w:hAnsi="宋体"/>
          <w:b/>
          <w:sz w:val="28"/>
          <w:szCs w:val="28"/>
        </w:rPr>
        <w:sectPr w:rsidR="00705086" w:rsidRPr="002C5D67" w:rsidSect="00C15F2D">
          <w:pgSz w:w="11906" w:h="16838"/>
          <w:pgMar w:top="1134" w:right="907" w:bottom="1440" w:left="1134" w:header="851" w:footer="992" w:gutter="0"/>
          <w:cols w:space="425"/>
          <w:docGrid w:type="lines" w:linePitch="312"/>
        </w:sectPr>
      </w:pPr>
      <w:r w:rsidRPr="00705086"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486400" cy="2992755"/>
            <wp:effectExtent l="19050" t="0" r="19050" b="0"/>
            <wp:docPr id="3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15F2D" w:rsidRPr="002E360D" w:rsidRDefault="00C15F2D" w:rsidP="00C15F2D">
      <w:pPr>
        <w:numPr>
          <w:ilvl w:val="1"/>
          <w:numId w:val="2"/>
        </w:numPr>
        <w:spacing w:line="360" w:lineRule="auto"/>
        <w:rPr>
          <w:rFonts w:ascii="宋体" w:hAnsi="宋体" w:cs="宋体"/>
          <w:b/>
          <w:kern w:val="0"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专业技术人员职称构成分析</w:t>
      </w:r>
    </w:p>
    <w:p w:rsidR="00C15F2D" w:rsidRDefault="00C15F2D" w:rsidP="00C15F2D">
      <w:pPr>
        <w:spacing w:line="360" w:lineRule="auto"/>
        <w:ind w:left="420"/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2C5D67">
        <w:rPr>
          <w:rFonts w:ascii="宋体" w:hAnsi="宋体" w:cs="宋体" w:hint="eastAsia"/>
          <w:b/>
          <w:kern w:val="0"/>
          <w:sz w:val="28"/>
          <w:szCs w:val="28"/>
        </w:rPr>
        <w:t>201</w:t>
      </w:r>
      <w:r w:rsidR="00705086">
        <w:rPr>
          <w:rFonts w:ascii="宋体" w:hAnsi="宋体" w:cs="宋体" w:hint="eastAsia"/>
          <w:b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b/>
          <w:kern w:val="0"/>
          <w:sz w:val="28"/>
          <w:szCs w:val="28"/>
        </w:rPr>
        <w:t>年专业技术人员职称构成分析</w:t>
      </w:r>
    </w:p>
    <w:tbl>
      <w:tblPr>
        <w:tblW w:w="14096" w:type="dxa"/>
        <w:jc w:val="center"/>
        <w:tblInd w:w="367" w:type="dxa"/>
        <w:tblLook w:val="04A0"/>
      </w:tblPr>
      <w:tblGrid>
        <w:gridCol w:w="397"/>
        <w:gridCol w:w="944"/>
        <w:gridCol w:w="666"/>
        <w:gridCol w:w="596"/>
        <w:gridCol w:w="576"/>
        <w:gridCol w:w="578"/>
        <w:gridCol w:w="579"/>
        <w:gridCol w:w="869"/>
        <w:gridCol w:w="579"/>
        <w:gridCol w:w="666"/>
        <w:gridCol w:w="579"/>
        <w:gridCol w:w="917"/>
        <w:gridCol w:w="597"/>
        <w:gridCol w:w="666"/>
        <w:gridCol w:w="579"/>
        <w:gridCol w:w="913"/>
        <w:gridCol w:w="682"/>
        <w:gridCol w:w="597"/>
        <w:gridCol w:w="576"/>
        <w:gridCol w:w="964"/>
        <w:gridCol w:w="576"/>
      </w:tblGrid>
      <w:tr w:rsidR="00705086" w:rsidRPr="00705086" w:rsidTr="00EE24B1">
        <w:trPr>
          <w:trHeight w:val="402"/>
          <w:jc w:val="center"/>
        </w:trPr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专业技术人员</w:t>
            </w:r>
          </w:p>
        </w:tc>
        <w:tc>
          <w:tcPr>
            <w:tcW w:w="26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教授级高工</w:t>
            </w:r>
          </w:p>
        </w:tc>
        <w:tc>
          <w:tcPr>
            <w:tcW w:w="2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高级职称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中级职称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初级职称</w:t>
            </w:r>
          </w:p>
        </w:tc>
      </w:tr>
      <w:tr w:rsidR="00705086" w:rsidRPr="00705086" w:rsidTr="00EE24B1">
        <w:trPr>
          <w:trHeight w:val="600"/>
          <w:jc w:val="center"/>
        </w:trPr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27645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105%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1942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118%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10340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37%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10372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37.52%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102%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4991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7280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968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50%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13%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3333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32%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46%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2120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20%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29%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93%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17%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11.80%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81%</w:t>
            </w:r>
          </w:p>
        </w:tc>
      </w:tr>
      <w:tr w:rsidR="00705086" w:rsidRPr="00705086" w:rsidTr="00EE24B1">
        <w:trPr>
          <w:trHeight w:val="402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16110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111%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958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49%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5.9%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129%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5871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57%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36.4%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6449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62%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40.0%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106%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2832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57%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17.6%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112%</w:t>
            </w:r>
          </w:p>
        </w:tc>
      </w:tr>
      <w:tr w:rsidR="00705086" w:rsidRPr="00705086" w:rsidTr="00EE24B1">
        <w:trPr>
          <w:trHeight w:val="480"/>
          <w:jc w:val="center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4255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15%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95%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1%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0.4%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84%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1136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11%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26.7%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93%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1803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42.4%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30.6%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 w:rsidP="00705086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05086">
              <w:rPr>
                <w:rFonts w:ascii="宋体" w:hAnsi="宋体" w:cs="宋体" w:hint="eastAsia"/>
                <w:kern w:val="0"/>
                <w:sz w:val="18"/>
                <w:szCs w:val="18"/>
              </w:rPr>
              <w:t>90%</w:t>
            </w:r>
          </w:p>
        </w:tc>
      </w:tr>
    </w:tbl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201</w:t>
      </w:r>
      <w:r w:rsidR="00705086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年，专业技术人员共</w:t>
      </w:r>
      <w:r w:rsidR="00705086">
        <w:rPr>
          <w:rFonts w:ascii="宋体" w:hAnsi="宋体" w:cs="宋体" w:hint="eastAsia"/>
          <w:kern w:val="0"/>
          <w:sz w:val="28"/>
          <w:szCs w:val="28"/>
        </w:rPr>
        <w:t>27645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</w:t>
      </w:r>
      <w:r w:rsidRPr="002C5D67">
        <w:rPr>
          <w:rFonts w:ascii="宋体" w:hAnsi="宋体" w:hint="eastAsia"/>
          <w:sz w:val="28"/>
          <w:szCs w:val="28"/>
        </w:rPr>
        <w:t>，同比</w:t>
      </w:r>
      <w:r w:rsidR="00D47393" w:rsidRPr="002C5D67">
        <w:rPr>
          <w:rFonts w:ascii="宋体" w:hAnsi="宋体" w:hint="eastAsia"/>
          <w:sz w:val="28"/>
          <w:szCs w:val="28"/>
        </w:rPr>
        <w:t>增</w:t>
      </w:r>
      <w:r w:rsidR="00D47393">
        <w:rPr>
          <w:rFonts w:ascii="宋体" w:hAnsi="宋体" w:hint="eastAsia"/>
          <w:sz w:val="28"/>
          <w:szCs w:val="28"/>
        </w:rPr>
        <w:t>长</w:t>
      </w:r>
      <w:r w:rsidR="00705086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其中：教授级高工</w:t>
      </w:r>
      <w:r w:rsidR="00705086">
        <w:rPr>
          <w:rFonts w:ascii="宋体" w:hAnsi="宋体" w:cs="宋体" w:hint="eastAsia"/>
          <w:kern w:val="0"/>
          <w:sz w:val="28"/>
          <w:szCs w:val="28"/>
        </w:rPr>
        <w:t>1942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2652DC">
        <w:rPr>
          <w:rFonts w:ascii="宋体" w:hAnsi="宋体" w:cs="宋体" w:hint="eastAsia"/>
          <w:kern w:val="0"/>
          <w:sz w:val="28"/>
          <w:szCs w:val="28"/>
        </w:rPr>
        <w:t>长</w:t>
      </w:r>
      <w:r w:rsidR="00705086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</w:t>
      </w:r>
      <w:r w:rsidR="00705086">
        <w:rPr>
          <w:rFonts w:ascii="宋体" w:hAnsi="宋体" w:cs="宋体" w:hint="eastAsia"/>
          <w:kern w:val="0"/>
          <w:sz w:val="28"/>
          <w:szCs w:val="28"/>
        </w:rPr>
        <w:t>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433E78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705086">
        <w:rPr>
          <w:rFonts w:ascii="宋体" w:hAnsi="宋体" w:cs="宋体" w:hint="eastAsia"/>
          <w:kern w:val="0"/>
          <w:sz w:val="28"/>
          <w:szCs w:val="28"/>
        </w:rPr>
        <w:t>13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3A3AC0" w:rsidRPr="002C5D67">
        <w:rPr>
          <w:rFonts w:ascii="宋体" w:hAnsi="宋体" w:cs="宋体" w:hint="eastAsia"/>
          <w:kern w:val="0"/>
          <w:sz w:val="28"/>
          <w:szCs w:val="28"/>
        </w:rPr>
        <w:t>5.</w:t>
      </w:r>
      <w:r w:rsidR="00705086">
        <w:rPr>
          <w:rFonts w:ascii="宋体" w:hAnsi="宋体" w:cs="宋体" w:hint="eastAsia"/>
          <w:kern w:val="0"/>
          <w:sz w:val="28"/>
          <w:szCs w:val="28"/>
        </w:rPr>
        <w:t>9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%、供电及其他设计院占0.4%，顾问集团占比最高；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高级职称</w:t>
      </w:r>
      <w:r w:rsidR="00705086">
        <w:rPr>
          <w:rFonts w:ascii="宋体" w:hAnsi="宋体" w:cs="宋体" w:hint="eastAsia"/>
          <w:kern w:val="0"/>
          <w:sz w:val="28"/>
          <w:szCs w:val="28"/>
        </w:rPr>
        <w:t>10340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2652DC">
        <w:rPr>
          <w:rFonts w:ascii="宋体" w:hAnsi="宋体" w:cs="宋体" w:hint="eastAsia"/>
          <w:kern w:val="0"/>
          <w:sz w:val="28"/>
          <w:szCs w:val="28"/>
        </w:rPr>
        <w:t>长</w:t>
      </w:r>
      <w:r w:rsidR="00705086">
        <w:rPr>
          <w:rFonts w:ascii="宋体" w:hAnsi="宋体" w:cs="宋体" w:hint="eastAsia"/>
          <w:kern w:val="0"/>
          <w:sz w:val="28"/>
          <w:szCs w:val="28"/>
        </w:rPr>
        <w:t>9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%，占技术人员比率为</w:t>
      </w:r>
      <w:r w:rsidR="00705086">
        <w:rPr>
          <w:rFonts w:ascii="宋体" w:hAnsi="宋体" w:cs="宋体" w:hint="eastAsia"/>
          <w:kern w:val="0"/>
          <w:sz w:val="28"/>
          <w:szCs w:val="28"/>
        </w:rPr>
        <w:t>37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345557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705086">
        <w:rPr>
          <w:rFonts w:ascii="宋体" w:hAnsi="宋体" w:cs="宋体" w:hint="eastAsia"/>
          <w:kern w:val="0"/>
          <w:sz w:val="28"/>
          <w:szCs w:val="28"/>
        </w:rPr>
        <w:t>46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705086">
        <w:rPr>
          <w:rFonts w:ascii="宋体" w:hAnsi="宋体" w:cs="宋体" w:hint="eastAsia"/>
          <w:kern w:val="0"/>
          <w:sz w:val="28"/>
          <w:szCs w:val="28"/>
        </w:rPr>
        <w:t>36.4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705086">
        <w:rPr>
          <w:rFonts w:ascii="宋体" w:hAnsi="宋体" w:cs="宋体" w:hint="eastAsia"/>
          <w:kern w:val="0"/>
          <w:sz w:val="28"/>
          <w:szCs w:val="28"/>
        </w:rPr>
        <w:t>26.7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%，顾问集团占比最高；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lastRenderedPageBreak/>
        <w:t>中级职称</w:t>
      </w:r>
      <w:r w:rsidR="00705086">
        <w:rPr>
          <w:rFonts w:ascii="宋体" w:hAnsi="宋体" w:cs="宋体" w:hint="eastAsia"/>
          <w:kern w:val="0"/>
          <w:sz w:val="28"/>
          <w:szCs w:val="28"/>
        </w:rPr>
        <w:t>10372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人，较去年同比增加</w:t>
      </w:r>
      <w:r w:rsidR="00345557" w:rsidRPr="002C5D67">
        <w:rPr>
          <w:rFonts w:ascii="宋体" w:hAnsi="宋体" w:cs="宋体" w:hint="eastAsia"/>
          <w:kern w:val="0"/>
          <w:sz w:val="28"/>
          <w:szCs w:val="28"/>
        </w:rPr>
        <w:t>2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%，占技术人员比率为3</w:t>
      </w:r>
      <w:r w:rsidR="00705086">
        <w:rPr>
          <w:rFonts w:ascii="宋体" w:hAnsi="宋体" w:cs="宋体" w:hint="eastAsia"/>
          <w:kern w:val="0"/>
          <w:sz w:val="28"/>
          <w:szCs w:val="28"/>
        </w:rPr>
        <w:t>7.52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345557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705086">
        <w:rPr>
          <w:rFonts w:ascii="宋体" w:hAnsi="宋体" w:cs="宋体" w:hint="eastAsia"/>
          <w:kern w:val="0"/>
          <w:sz w:val="28"/>
          <w:szCs w:val="28"/>
        </w:rPr>
        <w:t>29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3A3AC0" w:rsidRPr="002C5D67">
        <w:rPr>
          <w:rFonts w:ascii="宋体" w:hAnsi="宋体" w:cs="宋体" w:hint="eastAsia"/>
          <w:kern w:val="0"/>
          <w:sz w:val="28"/>
          <w:szCs w:val="28"/>
        </w:rPr>
        <w:t>4</w:t>
      </w:r>
      <w:r w:rsidR="00705086">
        <w:rPr>
          <w:rFonts w:ascii="宋体" w:hAnsi="宋体" w:cs="宋体" w:hint="eastAsia"/>
          <w:kern w:val="0"/>
          <w:sz w:val="28"/>
          <w:szCs w:val="28"/>
        </w:rPr>
        <w:t>0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3A3AC0" w:rsidRPr="002C5D67">
        <w:rPr>
          <w:rFonts w:ascii="宋体" w:hAnsi="宋体" w:cs="宋体" w:hint="eastAsia"/>
          <w:kern w:val="0"/>
          <w:sz w:val="28"/>
          <w:szCs w:val="28"/>
        </w:rPr>
        <w:t>4</w:t>
      </w:r>
      <w:r w:rsidR="00705086">
        <w:rPr>
          <w:rFonts w:ascii="宋体" w:hAnsi="宋体" w:cs="宋体" w:hint="eastAsia"/>
          <w:kern w:val="0"/>
          <w:sz w:val="28"/>
          <w:szCs w:val="28"/>
        </w:rPr>
        <w:t>2.4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="00705086">
        <w:rPr>
          <w:rFonts w:ascii="宋体" w:hAnsi="宋体" w:cs="宋体" w:hint="eastAsia"/>
          <w:kern w:val="0"/>
          <w:sz w:val="28"/>
          <w:szCs w:val="28"/>
        </w:rPr>
        <w:t>供电及其它设计院</w:t>
      </w:r>
      <w:r w:rsidRPr="002C5D67">
        <w:rPr>
          <w:rFonts w:ascii="宋体" w:hAnsi="宋体" w:cs="宋体" w:hint="eastAsia"/>
          <w:kern w:val="0"/>
          <w:sz w:val="28"/>
          <w:szCs w:val="28"/>
        </w:rPr>
        <w:t>占比最高。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初级职称</w:t>
      </w:r>
      <w:r w:rsidR="00705086">
        <w:rPr>
          <w:rFonts w:ascii="宋体" w:hAnsi="宋体" w:cs="宋体" w:hint="eastAsia"/>
          <w:kern w:val="0"/>
          <w:sz w:val="28"/>
          <w:szCs w:val="28"/>
        </w:rPr>
        <w:t>4991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345557" w:rsidRPr="002C5D67">
        <w:rPr>
          <w:rFonts w:ascii="宋体" w:hAnsi="宋体" w:cs="宋体" w:hint="eastAsia"/>
          <w:kern w:val="0"/>
          <w:sz w:val="28"/>
          <w:szCs w:val="28"/>
        </w:rPr>
        <w:t>减少1%</w:t>
      </w:r>
      <w:r w:rsidRPr="002C5D67">
        <w:rPr>
          <w:rFonts w:ascii="宋体" w:hAnsi="宋体" w:cs="宋体" w:hint="eastAsia"/>
          <w:kern w:val="0"/>
          <w:sz w:val="28"/>
          <w:szCs w:val="28"/>
        </w:rPr>
        <w:t>，占技术人员比率为</w:t>
      </w:r>
      <w:r w:rsidR="00705086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345557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705086">
        <w:rPr>
          <w:rFonts w:ascii="宋体" w:hAnsi="宋体" w:cs="宋体" w:hint="eastAsia"/>
          <w:kern w:val="0"/>
          <w:sz w:val="28"/>
          <w:szCs w:val="28"/>
        </w:rPr>
        <w:t>11.8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705086">
        <w:rPr>
          <w:rFonts w:ascii="宋体" w:hAnsi="宋体" w:cs="宋体" w:hint="eastAsia"/>
          <w:kern w:val="0"/>
          <w:sz w:val="28"/>
          <w:szCs w:val="28"/>
        </w:rPr>
        <w:t>17.6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705086">
        <w:rPr>
          <w:rFonts w:ascii="宋体" w:hAnsi="宋体" w:cs="宋体" w:hint="eastAsia"/>
          <w:kern w:val="0"/>
          <w:sz w:val="28"/>
          <w:szCs w:val="28"/>
        </w:rPr>
        <w:t>30.6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%，供电及其他设计院占比最高。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  <w:sectPr w:rsidR="00C15F2D" w:rsidRPr="002C5D67" w:rsidSect="00C15F2D">
          <w:pgSz w:w="16838" w:h="11906" w:orient="landscape"/>
          <w:pgMar w:top="1797" w:right="1134" w:bottom="1797" w:left="1440" w:header="851" w:footer="992" w:gutter="0"/>
          <w:cols w:space="425"/>
          <w:docGrid w:type="lines" w:linePitch="312"/>
        </w:sectPr>
      </w:pPr>
      <w:r w:rsidRPr="002C5D67">
        <w:rPr>
          <w:rFonts w:ascii="宋体" w:hAnsi="宋体" w:cs="宋体" w:hint="eastAsia"/>
          <w:kern w:val="0"/>
          <w:sz w:val="28"/>
          <w:szCs w:val="28"/>
        </w:rPr>
        <w:t>总体表现为：顾问集团所拥有的教高及高级职称技术人员所占比重均最大，高级技术人才具有绝对优势，</w:t>
      </w:r>
      <w:r w:rsidR="00705086">
        <w:rPr>
          <w:rFonts w:ascii="宋体" w:hAnsi="宋体" w:cs="宋体" w:hint="eastAsia"/>
          <w:kern w:val="0"/>
          <w:sz w:val="28"/>
          <w:szCs w:val="28"/>
        </w:rPr>
        <w:t>供电及其它设计院</w:t>
      </w:r>
      <w:r w:rsidRPr="002C5D67">
        <w:rPr>
          <w:rFonts w:ascii="宋体" w:hAnsi="宋体" w:cs="宋体" w:hint="eastAsia"/>
          <w:kern w:val="0"/>
          <w:sz w:val="28"/>
          <w:szCs w:val="28"/>
        </w:rPr>
        <w:t>所拥有的中级职称技术人员所占比重最大，初级职称技术人员在</w:t>
      </w:r>
      <w:r w:rsidRPr="002C5D67">
        <w:rPr>
          <w:rFonts w:ascii="宋体" w:hAnsi="宋体" w:cs="宋体" w:hint="eastAsia"/>
          <w:color w:val="000000"/>
          <w:kern w:val="0"/>
          <w:sz w:val="28"/>
          <w:szCs w:val="28"/>
        </w:rPr>
        <w:t>供电及其它设计院所占比重最大。</w:t>
      </w:r>
    </w:p>
    <w:p w:rsidR="00C15F2D" w:rsidRPr="002C5D67" w:rsidRDefault="00705086" w:rsidP="00EE24B1">
      <w:pPr>
        <w:spacing w:line="360" w:lineRule="auto"/>
        <w:ind w:firstLineChars="150" w:firstLine="420"/>
        <w:rPr>
          <w:rFonts w:ascii="宋体" w:hAnsi="宋体" w:cs="宋体"/>
          <w:kern w:val="0"/>
          <w:sz w:val="28"/>
          <w:szCs w:val="28"/>
        </w:rPr>
      </w:pPr>
      <w:r w:rsidRPr="00705086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486400" cy="2906395"/>
            <wp:effectExtent l="19050" t="0" r="19050" b="8255"/>
            <wp:docPr id="42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15F2D" w:rsidRDefault="00705086" w:rsidP="00EE24B1">
      <w:pPr>
        <w:spacing w:line="360" w:lineRule="auto"/>
        <w:ind w:firstLineChars="147" w:firstLine="413"/>
        <w:rPr>
          <w:rFonts w:ascii="宋体" w:hAnsi="宋体"/>
          <w:b/>
          <w:sz w:val="28"/>
          <w:szCs w:val="28"/>
        </w:rPr>
      </w:pPr>
      <w:r w:rsidRPr="00705086"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486400" cy="2327275"/>
            <wp:effectExtent l="19050" t="0" r="19050" b="0"/>
            <wp:docPr id="51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705086" w:rsidRPr="002C5D67" w:rsidRDefault="00705086" w:rsidP="00EE24B1">
      <w:pPr>
        <w:spacing w:line="360" w:lineRule="auto"/>
        <w:ind w:firstLineChars="147" w:firstLine="413"/>
        <w:rPr>
          <w:rFonts w:ascii="宋体" w:hAnsi="宋体"/>
          <w:b/>
          <w:sz w:val="28"/>
          <w:szCs w:val="28"/>
        </w:rPr>
        <w:sectPr w:rsidR="00705086" w:rsidRPr="002C5D67" w:rsidSect="00C15F2D">
          <w:pgSz w:w="11906" w:h="16838"/>
          <w:pgMar w:top="1134" w:right="907" w:bottom="1440" w:left="1134" w:header="851" w:footer="992" w:gutter="0"/>
          <w:cols w:space="425"/>
          <w:docGrid w:type="lines" w:linePitch="312"/>
        </w:sectPr>
      </w:pPr>
      <w:r w:rsidRPr="00705086"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486400" cy="3136265"/>
            <wp:effectExtent l="19050" t="0" r="19050" b="6985"/>
            <wp:docPr id="59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15F2D" w:rsidRPr="002E360D" w:rsidRDefault="00C15F2D" w:rsidP="00DF5A0E">
      <w:pPr>
        <w:numPr>
          <w:ilvl w:val="1"/>
          <w:numId w:val="2"/>
        </w:num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注册执业人员构成分析</w:t>
      </w:r>
    </w:p>
    <w:p w:rsidR="00C15F2D" w:rsidRPr="002C5D67" w:rsidRDefault="00C15F2D" w:rsidP="00C15F2D">
      <w:pPr>
        <w:spacing w:line="500" w:lineRule="exact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cs="宋体" w:hint="eastAsia"/>
          <w:b/>
          <w:kern w:val="0"/>
          <w:sz w:val="28"/>
          <w:szCs w:val="28"/>
        </w:rPr>
        <w:t>201</w:t>
      </w:r>
      <w:r w:rsidR="00705086">
        <w:rPr>
          <w:rFonts w:ascii="宋体" w:hAnsi="宋体" w:cs="宋体" w:hint="eastAsia"/>
          <w:b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Pr="002C5D67">
        <w:rPr>
          <w:rFonts w:ascii="宋体" w:hAnsi="宋体" w:hint="eastAsia"/>
          <w:b/>
          <w:sz w:val="28"/>
          <w:szCs w:val="28"/>
        </w:rPr>
        <w:t>电力勘察设计注册执业人员情况分析</w:t>
      </w:r>
    </w:p>
    <w:tbl>
      <w:tblPr>
        <w:tblW w:w="4865" w:type="pct"/>
        <w:jc w:val="center"/>
        <w:tblInd w:w="392" w:type="dxa"/>
        <w:tblLook w:val="04A0"/>
      </w:tblPr>
      <w:tblGrid>
        <w:gridCol w:w="397"/>
        <w:gridCol w:w="2139"/>
        <w:gridCol w:w="745"/>
        <w:gridCol w:w="748"/>
        <w:gridCol w:w="748"/>
        <w:gridCol w:w="748"/>
        <w:gridCol w:w="748"/>
        <w:gridCol w:w="860"/>
        <w:gridCol w:w="745"/>
        <w:gridCol w:w="745"/>
        <w:gridCol w:w="745"/>
        <w:gridCol w:w="860"/>
        <w:gridCol w:w="749"/>
        <w:gridCol w:w="746"/>
        <w:gridCol w:w="746"/>
        <w:gridCol w:w="861"/>
        <w:gridCol w:w="726"/>
      </w:tblGrid>
      <w:tr w:rsidR="00C15F2D" w:rsidRPr="002C5D67" w:rsidTr="00EE24B1">
        <w:trPr>
          <w:trHeight w:val="402"/>
          <w:jc w:val="center"/>
        </w:trPr>
        <w:tc>
          <w:tcPr>
            <w:tcW w:w="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8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注册执业人员</w:t>
            </w:r>
          </w:p>
        </w:tc>
        <w:tc>
          <w:tcPr>
            <w:tcW w:w="11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注册建筑</w:t>
            </w:r>
          </w:p>
        </w:tc>
        <w:tc>
          <w:tcPr>
            <w:tcW w:w="110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注册结构</w:t>
            </w:r>
          </w:p>
        </w:tc>
        <w:tc>
          <w:tcPr>
            <w:tcW w:w="109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注册咨询</w:t>
            </w:r>
          </w:p>
        </w:tc>
      </w:tr>
      <w:tr w:rsidR="00C15F2D" w:rsidRPr="002C5D67" w:rsidTr="00EE24B1">
        <w:trPr>
          <w:trHeight w:val="600"/>
          <w:jc w:val="center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F2D" w:rsidRPr="002C5D67" w:rsidRDefault="00C15F2D" w:rsidP="00C15F2D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F2D" w:rsidRPr="002C5D67" w:rsidRDefault="00C15F2D" w:rsidP="00C15F2D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9277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103%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96%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973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1800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2367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107%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78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327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14%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5730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62%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175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50%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95%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55%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107%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61%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</w:tr>
      <w:tr w:rsidR="00705086" w:rsidRPr="002C5D67" w:rsidTr="00EE24B1">
        <w:trPr>
          <w:trHeight w:val="428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13%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88%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28%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177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91%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378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21%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</w:tr>
    </w:tbl>
    <w:p w:rsidR="00C15F2D" w:rsidRPr="002C5D67" w:rsidRDefault="00C15F2D" w:rsidP="00C15F2D">
      <w:pPr>
        <w:spacing w:line="360" w:lineRule="auto"/>
        <w:rPr>
          <w:rFonts w:ascii="宋体" w:hAnsi="宋体" w:cs="宋体"/>
          <w:kern w:val="0"/>
          <w:sz w:val="28"/>
          <w:szCs w:val="28"/>
        </w:rPr>
      </w:pPr>
    </w:p>
    <w:tbl>
      <w:tblPr>
        <w:tblW w:w="4864" w:type="pct"/>
        <w:jc w:val="center"/>
        <w:tblInd w:w="392" w:type="dxa"/>
        <w:tblLook w:val="04A0"/>
      </w:tblPr>
      <w:tblGrid>
        <w:gridCol w:w="425"/>
        <w:gridCol w:w="1909"/>
        <w:gridCol w:w="704"/>
        <w:gridCol w:w="704"/>
        <w:gridCol w:w="816"/>
        <w:gridCol w:w="708"/>
        <w:gridCol w:w="703"/>
        <w:gridCol w:w="703"/>
        <w:gridCol w:w="815"/>
        <w:gridCol w:w="708"/>
        <w:gridCol w:w="703"/>
        <w:gridCol w:w="703"/>
        <w:gridCol w:w="815"/>
        <w:gridCol w:w="708"/>
        <w:gridCol w:w="703"/>
        <w:gridCol w:w="703"/>
        <w:gridCol w:w="815"/>
        <w:gridCol w:w="708"/>
      </w:tblGrid>
      <w:tr w:rsidR="00C15F2D" w:rsidRPr="002C5D67" w:rsidTr="00EE24B1">
        <w:trPr>
          <w:trHeight w:val="402"/>
          <w:jc w:val="center"/>
        </w:trPr>
        <w:tc>
          <w:tcPr>
            <w:tcW w:w="1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0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注册岩土</w:t>
            </w:r>
          </w:p>
        </w:tc>
        <w:tc>
          <w:tcPr>
            <w:tcW w:w="10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注册电气</w:t>
            </w:r>
          </w:p>
        </w:tc>
        <w:tc>
          <w:tcPr>
            <w:tcW w:w="10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注册其它</w:t>
            </w:r>
          </w:p>
        </w:tc>
        <w:tc>
          <w:tcPr>
            <w:tcW w:w="104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其它注册</w:t>
            </w:r>
          </w:p>
        </w:tc>
      </w:tr>
      <w:tr w:rsidR="00C15F2D" w:rsidRPr="002C5D67" w:rsidTr="00EE24B1">
        <w:trPr>
          <w:trHeight w:val="600"/>
          <w:jc w:val="center"/>
        </w:trPr>
        <w:tc>
          <w:tcPr>
            <w:tcW w:w="1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F2D" w:rsidRPr="002C5D67" w:rsidRDefault="00C15F2D" w:rsidP="00C15F2D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5F2D" w:rsidRPr="002C5D67" w:rsidRDefault="00C15F2D" w:rsidP="00C15F2D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占比%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F2D" w:rsidRPr="002C5D67" w:rsidRDefault="00C15F2D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1611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118%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3624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39%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96%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566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6%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1156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49%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86%</w:t>
            </w:r>
          </w:p>
        </w:tc>
      </w:tr>
      <w:tr w:rsidR="00705086" w:rsidRPr="002C5D67" w:rsidTr="00EE24B1">
        <w:trPr>
          <w:trHeight w:val="402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75%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111%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917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57%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127%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2280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63%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40%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95%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466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82%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8%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</w:tr>
      <w:tr w:rsidR="00705086" w:rsidRPr="002C5D67" w:rsidTr="00EE24B1">
        <w:trPr>
          <w:trHeight w:val="660"/>
          <w:jc w:val="center"/>
        </w:trPr>
        <w:tc>
          <w:tcPr>
            <w:tcW w:w="1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2C5D67" w:rsidRDefault="00705086" w:rsidP="00C15F2D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337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21%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60%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5086" w:rsidRPr="00705086" w:rsidRDefault="00705086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705086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</w:tbl>
    <w:p w:rsidR="00C15F2D" w:rsidRPr="002C5D67" w:rsidRDefault="00C15F2D" w:rsidP="00C15F2D">
      <w:pPr>
        <w:spacing w:line="360" w:lineRule="auto"/>
        <w:rPr>
          <w:rFonts w:ascii="宋体" w:hAnsi="宋体" w:cs="宋体"/>
          <w:kern w:val="0"/>
          <w:sz w:val="28"/>
          <w:szCs w:val="28"/>
        </w:rPr>
      </w:pP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lastRenderedPageBreak/>
        <w:t>201</w:t>
      </w:r>
      <w:r w:rsidR="00705086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年，注册执业人员共</w:t>
      </w:r>
      <w:r w:rsidR="00705086">
        <w:rPr>
          <w:rFonts w:ascii="宋体" w:hAnsi="宋体" w:cs="宋体" w:hint="eastAsia"/>
          <w:kern w:val="0"/>
          <w:sz w:val="28"/>
          <w:szCs w:val="28"/>
        </w:rPr>
        <w:t>9277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人次</w:t>
      </w:r>
      <w:r w:rsidRPr="002C5D67">
        <w:rPr>
          <w:rFonts w:ascii="宋体" w:hAnsi="宋体" w:hint="eastAsia"/>
          <w:sz w:val="28"/>
          <w:szCs w:val="28"/>
        </w:rPr>
        <w:t>，同比增长</w:t>
      </w:r>
      <w:r w:rsidR="00705086">
        <w:rPr>
          <w:rFonts w:ascii="宋体" w:hAnsi="宋体" w:hint="eastAsia"/>
          <w:sz w:val="28"/>
          <w:szCs w:val="28"/>
        </w:rPr>
        <w:t>3</w:t>
      </w:r>
      <w:r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C15F2D" w:rsidRPr="002C5D67" w:rsidRDefault="00C15F2D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 xml:space="preserve">其中： </w:t>
      </w:r>
      <w:r w:rsidR="000E7C29" w:rsidRPr="002C5D67">
        <w:rPr>
          <w:rFonts w:ascii="宋体" w:hAnsi="宋体" w:cs="宋体" w:hint="eastAsia"/>
          <w:kern w:val="0"/>
          <w:sz w:val="28"/>
          <w:szCs w:val="28"/>
        </w:rPr>
        <w:t>注册建筑师</w:t>
      </w:r>
      <w:r w:rsidR="001C41EB">
        <w:rPr>
          <w:rFonts w:ascii="宋体" w:hAnsi="宋体" w:cs="宋体" w:hint="eastAsia"/>
          <w:kern w:val="0"/>
          <w:sz w:val="28"/>
          <w:szCs w:val="28"/>
        </w:rPr>
        <w:t>353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减少</w:t>
      </w:r>
      <w:r w:rsidR="001C41EB">
        <w:rPr>
          <w:rFonts w:ascii="宋体" w:hAnsi="宋体" w:cs="宋体" w:hint="eastAsia"/>
          <w:kern w:val="0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</w:t>
      </w:r>
      <w:r w:rsidR="000E7C29" w:rsidRPr="002C5D67">
        <w:rPr>
          <w:rFonts w:ascii="宋体" w:hAnsi="宋体" w:cs="宋体" w:hint="eastAsia"/>
          <w:kern w:val="0"/>
          <w:sz w:val="28"/>
          <w:szCs w:val="28"/>
        </w:rPr>
        <w:t>注册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人员比率</w:t>
      </w:r>
      <w:r w:rsidR="001C41EB">
        <w:rPr>
          <w:rFonts w:ascii="宋体" w:hAnsi="宋体" w:cs="宋体" w:hint="eastAsia"/>
          <w:kern w:val="0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0E7C29" w:rsidRPr="002C5D67">
        <w:rPr>
          <w:rFonts w:ascii="宋体" w:hAnsi="宋体" w:cs="宋体" w:hint="eastAsia"/>
          <w:kern w:val="0"/>
          <w:sz w:val="28"/>
          <w:szCs w:val="28"/>
        </w:rPr>
        <w:t>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8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="000E7C29" w:rsidRPr="002C5D67">
        <w:rPr>
          <w:rFonts w:ascii="宋体" w:hAnsi="宋体" w:cs="宋体" w:hint="eastAsia"/>
          <w:kern w:val="0"/>
          <w:sz w:val="28"/>
          <w:szCs w:val="28"/>
        </w:rPr>
        <w:t>供电及其他设计院</w:t>
      </w:r>
      <w:r w:rsidRPr="002C5D67">
        <w:rPr>
          <w:rFonts w:ascii="宋体" w:hAnsi="宋体" w:cs="宋体" w:hint="eastAsia"/>
          <w:kern w:val="0"/>
          <w:sz w:val="28"/>
          <w:szCs w:val="28"/>
        </w:rPr>
        <w:t>占比最高；</w:t>
      </w:r>
    </w:p>
    <w:p w:rsidR="00C15F2D" w:rsidRPr="002C5D67" w:rsidRDefault="000E7C29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注册结构</w:t>
      </w:r>
      <w:r w:rsidR="001C41EB">
        <w:rPr>
          <w:rFonts w:ascii="宋体" w:hAnsi="宋体" w:cs="宋体" w:hint="eastAsia"/>
          <w:kern w:val="0"/>
          <w:sz w:val="28"/>
          <w:szCs w:val="28"/>
        </w:rPr>
        <w:t>973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1C41EB">
        <w:rPr>
          <w:rFonts w:ascii="宋体" w:hAnsi="宋体" w:cs="宋体" w:hint="eastAsia"/>
          <w:kern w:val="0"/>
          <w:sz w:val="28"/>
          <w:szCs w:val="28"/>
        </w:rPr>
        <w:t>增</w:t>
      </w:r>
      <w:r w:rsidR="002652DC">
        <w:rPr>
          <w:rFonts w:ascii="宋体" w:hAnsi="宋体" w:cs="宋体" w:hint="eastAsia"/>
          <w:kern w:val="0"/>
          <w:sz w:val="28"/>
          <w:szCs w:val="28"/>
        </w:rPr>
        <w:t>长</w:t>
      </w:r>
      <w:r w:rsidR="001C41EB">
        <w:rPr>
          <w:rFonts w:ascii="宋体" w:hAnsi="宋体" w:cs="宋体" w:hint="eastAsia"/>
          <w:kern w:val="0"/>
          <w:sz w:val="28"/>
          <w:szCs w:val="28"/>
        </w:rPr>
        <w:t>4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Pr="002C5D67">
        <w:rPr>
          <w:rFonts w:ascii="宋体" w:hAnsi="宋体" w:cs="宋体" w:hint="eastAsia"/>
          <w:kern w:val="0"/>
          <w:sz w:val="28"/>
          <w:szCs w:val="28"/>
        </w:rPr>
        <w:t>占注册人员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比率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10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11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9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15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Pr="002C5D67">
        <w:rPr>
          <w:rFonts w:ascii="宋体" w:hAnsi="宋体" w:cs="宋体" w:hint="eastAsia"/>
          <w:kern w:val="0"/>
          <w:sz w:val="28"/>
          <w:szCs w:val="28"/>
        </w:rPr>
        <w:t>供电及其他设计院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占比最高；</w:t>
      </w:r>
    </w:p>
    <w:p w:rsidR="00C15F2D" w:rsidRPr="002C5D67" w:rsidRDefault="000E7C29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注册咨询</w:t>
      </w:r>
      <w:r w:rsidR="001C41EB">
        <w:rPr>
          <w:rFonts w:ascii="宋体" w:hAnsi="宋体" w:cs="宋体" w:hint="eastAsia"/>
          <w:kern w:val="0"/>
          <w:sz w:val="28"/>
          <w:szCs w:val="28"/>
        </w:rPr>
        <w:t>1800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2652DC">
        <w:rPr>
          <w:rFonts w:ascii="宋体" w:hAnsi="宋体" w:cs="宋体" w:hint="eastAsia"/>
          <w:kern w:val="0"/>
          <w:sz w:val="28"/>
          <w:szCs w:val="28"/>
        </w:rPr>
        <w:t>长</w:t>
      </w:r>
      <w:r w:rsidR="001C41EB">
        <w:rPr>
          <w:rFonts w:ascii="宋体" w:hAnsi="宋体" w:cs="宋体" w:hint="eastAsia"/>
          <w:kern w:val="0"/>
          <w:sz w:val="28"/>
          <w:szCs w:val="28"/>
        </w:rPr>
        <w:t>4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注册人员比率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19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14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19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32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Pr="002C5D67">
        <w:rPr>
          <w:rFonts w:ascii="宋体" w:hAnsi="宋体" w:cs="宋体" w:hint="eastAsia"/>
          <w:kern w:val="0"/>
          <w:sz w:val="28"/>
          <w:szCs w:val="28"/>
        </w:rPr>
        <w:t>供电及其他设计院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占比最高。</w:t>
      </w:r>
    </w:p>
    <w:p w:rsidR="00C15F2D" w:rsidRPr="002C5D67" w:rsidRDefault="000E7C29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注册岩土</w:t>
      </w:r>
      <w:r w:rsidR="001C41EB">
        <w:rPr>
          <w:rFonts w:ascii="宋体" w:hAnsi="宋体" w:cs="宋体" w:hint="eastAsia"/>
          <w:kern w:val="0"/>
          <w:sz w:val="28"/>
          <w:szCs w:val="28"/>
        </w:rPr>
        <w:t>350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313D5A" w:rsidRPr="002C5D67">
        <w:rPr>
          <w:rFonts w:ascii="宋体" w:hAnsi="宋体" w:cs="宋体" w:hint="eastAsia"/>
          <w:kern w:val="0"/>
          <w:sz w:val="28"/>
          <w:szCs w:val="28"/>
        </w:rPr>
        <w:t>增长</w:t>
      </w:r>
      <w:r w:rsidR="001C41EB">
        <w:rPr>
          <w:rFonts w:ascii="宋体" w:hAnsi="宋体" w:cs="宋体" w:hint="eastAsia"/>
          <w:kern w:val="0"/>
          <w:sz w:val="28"/>
          <w:szCs w:val="28"/>
        </w:rPr>
        <w:t>10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注册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人员比率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4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：顾问集团占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4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5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0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%，</w:t>
      </w:r>
      <w:r w:rsidRPr="002C5D67">
        <w:rPr>
          <w:rFonts w:ascii="宋体" w:hAnsi="宋体" w:cs="宋体" w:hint="eastAsia"/>
          <w:kern w:val="0"/>
          <w:sz w:val="28"/>
          <w:szCs w:val="28"/>
        </w:rPr>
        <w:t>省级设计院</w:t>
      </w:r>
      <w:r w:rsidR="00011179">
        <w:rPr>
          <w:rFonts w:ascii="宋体" w:hAnsi="宋体" w:cs="宋体" w:hint="eastAsia"/>
          <w:kern w:val="0"/>
          <w:sz w:val="28"/>
          <w:szCs w:val="28"/>
        </w:rPr>
        <w:t>占比</w:t>
      </w:r>
      <w:r w:rsidR="001C41EB">
        <w:rPr>
          <w:rFonts w:ascii="宋体" w:hAnsi="宋体" w:cs="宋体" w:hint="eastAsia"/>
          <w:kern w:val="0"/>
          <w:sz w:val="28"/>
          <w:szCs w:val="28"/>
        </w:rPr>
        <w:t>较高</w:t>
      </w:r>
      <w:r w:rsidR="00C15F2D"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0E7C29" w:rsidRPr="002C5D67" w:rsidRDefault="000E7C29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注册电气</w:t>
      </w:r>
      <w:r w:rsidR="001C41EB">
        <w:rPr>
          <w:rFonts w:ascii="宋体" w:hAnsi="宋体" w:cs="宋体" w:hint="eastAsia"/>
          <w:kern w:val="0"/>
          <w:sz w:val="28"/>
          <w:szCs w:val="28"/>
        </w:rPr>
        <w:t>1611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1C41EB">
        <w:rPr>
          <w:rFonts w:ascii="宋体" w:hAnsi="宋体" w:cs="宋体" w:hint="eastAsia"/>
          <w:kern w:val="0"/>
          <w:sz w:val="28"/>
          <w:szCs w:val="28"/>
        </w:rPr>
        <w:t>增</w:t>
      </w:r>
      <w:r w:rsidR="002652DC">
        <w:rPr>
          <w:rFonts w:ascii="宋体" w:hAnsi="宋体" w:cs="宋体" w:hint="eastAsia"/>
          <w:kern w:val="0"/>
          <w:sz w:val="28"/>
          <w:szCs w:val="28"/>
        </w:rPr>
        <w:t>长</w:t>
      </w:r>
      <w:r w:rsidR="001C41EB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%，占注册人员比率</w:t>
      </w:r>
      <w:r w:rsidR="001C41EB">
        <w:rPr>
          <w:rFonts w:ascii="宋体" w:hAnsi="宋体" w:cs="宋体" w:hint="eastAsia"/>
          <w:kern w:val="0"/>
          <w:sz w:val="28"/>
          <w:szCs w:val="28"/>
        </w:rPr>
        <w:t>17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：顾问集团占1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%、省级设计院占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16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%、供电及其他设计院占</w:t>
      </w:r>
      <w:r w:rsidR="001C41EB">
        <w:rPr>
          <w:rFonts w:ascii="宋体" w:hAnsi="宋体" w:cs="宋体" w:hint="eastAsia"/>
          <w:kern w:val="0"/>
          <w:sz w:val="28"/>
          <w:szCs w:val="28"/>
        </w:rPr>
        <w:t>29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%，供电及其他设计院占比最高。</w:t>
      </w:r>
    </w:p>
    <w:p w:rsidR="00C15F2D" w:rsidRPr="002C5D67" w:rsidRDefault="000E7C29" w:rsidP="00C15F2D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  <w:sectPr w:rsidR="00C15F2D" w:rsidRPr="002C5D67" w:rsidSect="00C15F2D">
          <w:pgSz w:w="16838" w:h="11906" w:orient="landscape"/>
          <w:pgMar w:top="1712" w:right="1304" w:bottom="2211" w:left="1304" w:header="851" w:footer="992" w:gutter="0"/>
          <w:cols w:space="425"/>
          <w:docGrid w:type="lines" w:linePitch="312"/>
        </w:sectPr>
      </w:pPr>
      <w:r w:rsidRPr="002C5D67">
        <w:rPr>
          <w:rFonts w:ascii="宋体" w:hAnsi="宋体" w:cs="宋体" w:hint="eastAsia"/>
          <w:kern w:val="0"/>
          <w:sz w:val="28"/>
          <w:szCs w:val="28"/>
        </w:rPr>
        <w:t>各类注册人员较上年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有增有减</w:t>
      </w:r>
      <w:r w:rsidRPr="002C5D67">
        <w:rPr>
          <w:rFonts w:ascii="宋体" w:hAnsi="宋体" w:cs="宋体" w:hint="eastAsia"/>
          <w:kern w:val="0"/>
          <w:sz w:val="28"/>
          <w:szCs w:val="28"/>
        </w:rPr>
        <w:t>，注册</w:t>
      </w:r>
      <w:r w:rsidR="001C41EB">
        <w:rPr>
          <w:rFonts w:ascii="宋体" w:hAnsi="宋体" w:cs="宋体" w:hint="eastAsia"/>
          <w:kern w:val="0"/>
          <w:sz w:val="28"/>
          <w:szCs w:val="28"/>
        </w:rPr>
        <w:t>电气师</w:t>
      </w:r>
      <w:r w:rsidRPr="002C5D67">
        <w:rPr>
          <w:rFonts w:ascii="宋体" w:hAnsi="宋体" w:cs="宋体" w:hint="eastAsia"/>
          <w:kern w:val="0"/>
          <w:sz w:val="28"/>
          <w:szCs w:val="28"/>
        </w:rPr>
        <w:t>和注册</w:t>
      </w:r>
      <w:r w:rsidR="00C36E12" w:rsidRPr="002C5D67">
        <w:rPr>
          <w:rFonts w:ascii="宋体" w:hAnsi="宋体" w:cs="宋体" w:hint="eastAsia"/>
          <w:kern w:val="0"/>
          <w:sz w:val="28"/>
          <w:szCs w:val="28"/>
        </w:rPr>
        <w:t>岩土</w:t>
      </w:r>
      <w:r w:rsidRPr="002C5D67">
        <w:rPr>
          <w:rFonts w:ascii="宋体" w:hAnsi="宋体" w:cs="宋体" w:hint="eastAsia"/>
          <w:kern w:val="0"/>
          <w:sz w:val="28"/>
          <w:szCs w:val="28"/>
        </w:rPr>
        <w:t>师增幅较大，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基于国家对设计院在资质上的硬性要求，</w:t>
      </w:r>
      <w:r w:rsidR="00011179">
        <w:rPr>
          <w:rFonts w:ascii="宋体" w:hAnsi="宋体" w:cs="宋体" w:hint="eastAsia"/>
          <w:kern w:val="0"/>
          <w:sz w:val="28"/>
          <w:szCs w:val="28"/>
        </w:rPr>
        <w:t>由于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供电及其它设计院单位个数较顾问集团及省级设计院多，故供电及其它院</w:t>
      </w:r>
      <w:r w:rsidR="00011179">
        <w:rPr>
          <w:rFonts w:ascii="宋体" w:hAnsi="宋体" w:cs="宋体" w:hint="eastAsia"/>
          <w:kern w:val="0"/>
          <w:sz w:val="28"/>
          <w:szCs w:val="28"/>
        </w:rPr>
        <w:t>绝大多数的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注册人员占比相对</w:t>
      </w:r>
      <w:r w:rsidR="00011179">
        <w:rPr>
          <w:rFonts w:ascii="宋体" w:hAnsi="宋体" w:cs="宋体" w:hint="eastAsia"/>
          <w:kern w:val="0"/>
          <w:sz w:val="28"/>
          <w:szCs w:val="28"/>
        </w:rPr>
        <w:t>较</w:t>
      </w:r>
      <w:r w:rsidR="000B1590" w:rsidRPr="002C5D67">
        <w:rPr>
          <w:rFonts w:ascii="宋体" w:hAnsi="宋体" w:cs="宋体" w:hint="eastAsia"/>
          <w:kern w:val="0"/>
          <w:sz w:val="28"/>
          <w:szCs w:val="28"/>
        </w:rPr>
        <w:t>高。</w:t>
      </w:r>
    </w:p>
    <w:p w:rsidR="00C15F2D" w:rsidRDefault="001C41EB" w:rsidP="00EE24B1">
      <w:pPr>
        <w:spacing w:line="360" w:lineRule="auto"/>
        <w:jc w:val="center"/>
        <w:rPr>
          <w:rFonts w:ascii="宋体" w:hAnsi="宋体" w:cs="宋体"/>
          <w:kern w:val="0"/>
          <w:sz w:val="28"/>
          <w:szCs w:val="28"/>
        </w:rPr>
      </w:pPr>
      <w:r w:rsidRPr="001C41EB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8648700" cy="2714625"/>
            <wp:effectExtent l="19050" t="0" r="19050" b="0"/>
            <wp:docPr id="6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3A7A90" w:rsidRDefault="001C41EB" w:rsidP="00EE24B1">
      <w:pPr>
        <w:spacing w:line="360" w:lineRule="auto"/>
        <w:jc w:val="center"/>
        <w:rPr>
          <w:rFonts w:ascii="宋体" w:hAnsi="宋体"/>
          <w:sz w:val="28"/>
          <w:szCs w:val="28"/>
        </w:rPr>
      </w:pPr>
      <w:r w:rsidRPr="001C41E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3743325" cy="2352675"/>
            <wp:effectExtent l="19050" t="0" r="9525" b="0"/>
            <wp:docPr id="6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 w:rsidRPr="001C41EB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876799" cy="2352674"/>
            <wp:effectExtent l="19050" t="0" r="19051" b="0"/>
            <wp:docPr id="6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3A7A90" w:rsidRPr="002C5D67" w:rsidRDefault="003A7A90" w:rsidP="00913725">
      <w:pPr>
        <w:spacing w:line="360" w:lineRule="auto"/>
        <w:rPr>
          <w:rFonts w:ascii="宋体" w:hAnsi="宋体"/>
          <w:b/>
          <w:sz w:val="28"/>
          <w:szCs w:val="28"/>
        </w:rPr>
        <w:sectPr w:rsidR="003A7A90" w:rsidRPr="002C5D67" w:rsidSect="00736EC2">
          <w:pgSz w:w="16838" w:h="11906" w:orient="landscape" w:code="9"/>
          <w:pgMar w:top="1797" w:right="1134" w:bottom="1797" w:left="1440" w:header="851" w:footer="992" w:gutter="0"/>
          <w:cols w:space="425"/>
          <w:docGrid w:linePitch="312"/>
        </w:sectPr>
      </w:pPr>
    </w:p>
    <w:p w:rsidR="003A7A90" w:rsidRPr="002C5D67" w:rsidRDefault="003A7A90" w:rsidP="003A7A90">
      <w:pPr>
        <w:pStyle w:val="3"/>
        <w:numPr>
          <w:ilvl w:val="0"/>
          <w:numId w:val="2"/>
        </w:numPr>
        <w:tabs>
          <w:tab w:val="clear" w:pos="425"/>
          <w:tab w:val="num" w:pos="567"/>
        </w:tabs>
        <w:ind w:left="567"/>
        <w:rPr>
          <w:rFonts w:ascii="宋体" w:hAnsi="宋体"/>
          <w:sz w:val="28"/>
          <w:szCs w:val="28"/>
        </w:rPr>
      </w:pPr>
      <w:bookmarkStart w:id="51" w:name="_Toc450668461"/>
      <w:r w:rsidRPr="002C5D67">
        <w:rPr>
          <w:rFonts w:ascii="宋体" w:hAnsi="宋体" w:hint="eastAsia"/>
          <w:sz w:val="28"/>
          <w:szCs w:val="28"/>
        </w:rPr>
        <w:lastRenderedPageBreak/>
        <w:t>签订合同情况分析</w:t>
      </w:r>
      <w:bookmarkEnd w:id="51"/>
      <w:r w:rsidRPr="002C5D67">
        <w:rPr>
          <w:rFonts w:ascii="宋体" w:hAnsi="宋体" w:hint="eastAsia"/>
          <w:sz w:val="28"/>
          <w:szCs w:val="28"/>
        </w:rPr>
        <w:t xml:space="preserve">    </w:t>
      </w:r>
    </w:p>
    <w:p w:rsidR="003A7A90" w:rsidRPr="002C5D67" w:rsidRDefault="000D61FC" w:rsidP="000D61FC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t>2.1</w:t>
      </w:r>
      <w:r w:rsidR="003A7A90" w:rsidRPr="002E360D">
        <w:rPr>
          <w:rFonts w:ascii="宋体" w:hAnsi="宋体" w:hint="eastAsia"/>
          <w:b/>
          <w:sz w:val="28"/>
          <w:szCs w:val="28"/>
        </w:rPr>
        <w:t>新签合同总额分析</w:t>
      </w:r>
    </w:p>
    <w:p w:rsidR="003A7A90" w:rsidRPr="00EE24B1" w:rsidRDefault="003A7A90" w:rsidP="00EE24B1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 w:rsidRPr="00EE24B1">
        <w:rPr>
          <w:rFonts w:ascii="宋体" w:hAnsi="宋体" w:hint="eastAsia"/>
          <w:sz w:val="28"/>
          <w:szCs w:val="28"/>
        </w:rPr>
        <w:t>201</w:t>
      </w:r>
      <w:r w:rsidR="00BF3946" w:rsidRPr="00EE24B1">
        <w:rPr>
          <w:rFonts w:ascii="宋体" w:hAnsi="宋体" w:hint="eastAsia"/>
          <w:sz w:val="28"/>
          <w:szCs w:val="28"/>
        </w:rPr>
        <w:t>5</w:t>
      </w:r>
      <w:r w:rsidRPr="00EE24B1">
        <w:rPr>
          <w:rFonts w:ascii="宋体" w:hAnsi="宋体" w:hint="eastAsia"/>
          <w:sz w:val="28"/>
          <w:szCs w:val="28"/>
        </w:rPr>
        <w:t>年，新签订合同总额为</w:t>
      </w:r>
      <w:r w:rsidR="00BF3946" w:rsidRPr="00EE24B1">
        <w:rPr>
          <w:rFonts w:ascii="宋体" w:hAnsi="宋体" w:hint="eastAsia"/>
          <w:sz w:val="28"/>
          <w:szCs w:val="28"/>
        </w:rPr>
        <w:t>1202.8</w:t>
      </w:r>
      <w:r w:rsidR="003808A2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元，同比增</w:t>
      </w:r>
      <w:r w:rsidR="002652DC" w:rsidRPr="00EE24B1">
        <w:rPr>
          <w:rFonts w:ascii="宋体" w:hAnsi="宋体" w:hint="eastAsia"/>
          <w:sz w:val="28"/>
          <w:szCs w:val="28"/>
        </w:rPr>
        <w:t>长</w:t>
      </w:r>
      <w:r w:rsidR="00BF3946" w:rsidRPr="00EE24B1">
        <w:rPr>
          <w:rFonts w:ascii="宋体" w:hAnsi="宋体" w:hint="eastAsia"/>
          <w:sz w:val="28"/>
          <w:szCs w:val="28"/>
        </w:rPr>
        <w:t>8</w:t>
      </w:r>
      <w:r w:rsidRPr="00EE24B1">
        <w:rPr>
          <w:rFonts w:ascii="宋体" w:hAnsi="宋体" w:hint="eastAsia"/>
          <w:sz w:val="28"/>
          <w:szCs w:val="28"/>
        </w:rPr>
        <w:t>%</w:t>
      </w:r>
      <w:r w:rsidR="005C4F0A" w:rsidRPr="00EE24B1">
        <w:rPr>
          <w:rFonts w:ascii="宋体" w:hAnsi="宋体" w:hint="eastAsia"/>
          <w:sz w:val="28"/>
          <w:szCs w:val="28"/>
        </w:rPr>
        <w:t>，主要是总承包业务增幅较大，勘测设计咨询业务有所减少</w:t>
      </w:r>
      <w:r w:rsidRPr="00EE24B1">
        <w:rPr>
          <w:rFonts w:ascii="宋体" w:hAnsi="宋体" w:hint="eastAsia"/>
          <w:sz w:val="28"/>
          <w:szCs w:val="28"/>
        </w:rPr>
        <w:t>。其中：顾问集团</w:t>
      </w:r>
      <w:r w:rsidR="005C4F0A" w:rsidRPr="00EE24B1">
        <w:rPr>
          <w:rFonts w:ascii="宋体" w:hAnsi="宋体" w:hint="eastAsia"/>
          <w:sz w:val="28"/>
          <w:szCs w:val="28"/>
        </w:rPr>
        <w:t>425.7</w:t>
      </w:r>
      <w:r w:rsidR="003808A2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</w:t>
      </w:r>
      <w:r w:rsidR="005C4F0A" w:rsidRPr="00EE24B1">
        <w:rPr>
          <w:rFonts w:ascii="宋体" w:hAnsi="宋体" w:hint="eastAsia"/>
          <w:sz w:val="28"/>
          <w:szCs w:val="28"/>
        </w:rPr>
        <w:t>35.4</w:t>
      </w:r>
      <w:r w:rsidRPr="00EE24B1">
        <w:rPr>
          <w:rFonts w:ascii="宋体" w:hAnsi="宋体" w:hint="eastAsia"/>
          <w:sz w:val="28"/>
          <w:szCs w:val="28"/>
        </w:rPr>
        <w:t>%；省属设计院</w:t>
      </w:r>
      <w:r w:rsidR="005C4F0A" w:rsidRPr="00EE24B1">
        <w:rPr>
          <w:rFonts w:ascii="宋体" w:hAnsi="宋体" w:hint="eastAsia"/>
          <w:sz w:val="28"/>
          <w:szCs w:val="28"/>
        </w:rPr>
        <w:t>725.2</w:t>
      </w:r>
      <w:r w:rsidR="003808A2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</w:t>
      </w:r>
      <w:r w:rsidR="003107BA" w:rsidRPr="00EE24B1">
        <w:rPr>
          <w:rFonts w:ascii="宋体" w:hAnsi="宋体" w:hint="eastAsia"/>
          <w:sz w:val="28"/>
          <w:szCs w:val="28"/>
        </w:rPr>
        <w:t>6</w:t>
      </w:r>
      <w:r w:rsidR="005C4F0A" w:rsidRPr="00EE24B1">
        <w:rPr>
          <w:rFonts w:ascii="宋体" w:hAnsi="宋体" w:hint="eastAsia"/>
          <w:sz w:val="28"/>
          <w:szCs w:val="28"/>
        </w:rPr>
        <w:t>0.3</w:t>
      </w:r>
      <w:r w:rsidRPr="00EE24B1">
        <w:rPr>
          <w:rFonts w:ascii="宋体" w:hAnsi="宋体" w:hint="eastAsia"/>
          <w:sz w:val="28"/>
          <w:szCs w:val="28"/>
        </w:rPr>
        <w:t>%；供电及其他设计院</w:t>
      </w:r>
      <w:r w:rsidR="005C4F0A" w:rsidRPr="00EE24B1">
        <w:rPr>
          <w:rFonts w:ascii="宋体" w:hAnsi="宋体" w:hint="eastAsia"/>
          <w:sz w:val="28"/>
          <w:szCs w:val="28"/>
        </w:rPr>
        <w:t>51.9</w:t>
      </w:r>
      <w:r w:rsidR="003808A2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</w:t>
      </w:r>
      <w:r w:rsidR="003107BA" w:rsidRPr="00EE24B1">
        <w:rPr>
          <w:rFonts w:ascii="宋体" w:hAnsi="宋体" w:hint="eastAsia"/>
          <w:sz w:val="28"/>
          <w:szCs w:val="28"/>
        </w:rPr>
        <w:t>4.3</w:t>
      </w:r>
      <w:r w:rsidRPr="00EE24B1">
        <w:rPr>
          <w:rFonts w:ascii="宋体" w:hAnsi="宋体" w:hint="eastAsia"/>
          <w:sz w:val="28"/>
          <w:szCs w:val="28"/>
        </w:rPr>
        <w:t>%。</w:t>
      </w:r>
      <w:r w:rsidR="003107BA" w:rsidRPr="00EE24B1">
        <w:rPr>
          <w:rFonts w:ascii="宋体" w:hAnsi="宋体" w:hint="eastAsia"/>
          <w:sz w:val="28"/>
          <w:szCs w:val="28"/>
        </w:rPr>
        <w:t>勘测设计及咨询服务传统业务占</w:t>
      </w:r>
      <w:r w:rsidR="005C4F0A" w:rsidRPr="00EE24B1">
        <w:rPr>
          <w:rFonts w:ascii="宋体" w:hAnsi="宋体" w:hint="eastAsia"/>
          <w:sz w:val="28"/>
          <w:szCs w:val="28"/>
        </w:rPr>
        <w:t>17.5</w:t>
      </w:r>
      <w:r w:rsidR="003107BA" w:rsidRPr="00EE24B1">
        <w:rPr>
          <w:rFonts w:ascii="宋体" w:hAnsi="宋体" w:hint="eastAsia"/>
          <w:sz w:val="28"/>
          <w:szCs w:val="28"/>
        </w:rPr>
        <w:t>%,比去年同期</w:t>
      </w:r>
      <w:r w:rsidR="005C4F0A" w:rsidRPr="00EE24B1">
        <w:rPr>
          <w:rFonts w:ascii="宋体" w:hAnsi="宋体" w:hint="eastAsia"/>
          <w:sz w:val="28"/>
          <w:szCs w:val="28"/>
        </w:rPr>
        <w:t>减少约8</w:t>
      </w:r>
      <w:r w:rsidR="00591C60" w:rsidRPr="00EE24B1">
        <w:rPr>
          <w:rFonts w:ascii="宋体" w:hAnsi="宋体" w:hint="eastAsia"/>
          <w:sz w:val="28"/>
          <w:szCs w:val="28"/>
        </w:rPr>
        <w:t>%</w:t>
      </w:r>
      <w:r w:rsidR="003107BA" w:rsidRPr="00EE24B1">
        <w:rPr>
          <w:rFonts w:ascii="宋体" w:hAnsi="宋体" w:hint="eastAsia"/>
          <w:sz w:val="28"/>
          <w:szCs w:val="28"/>
        </w:rPr>
        <w:t>，总承包业务占</w:t>
      </w:r>
      <w:r w:rsidR="005C4F0A" w:rsidRPr="00EE24B1">
        <w:rPr>
          <w:rFonts w:ascii="宋体" w:hAnsi="宋体" w:hint="eastAsia"/>
          <w:sz w:val="28"/>
          <w:szCs w:val="28"/>
        </w:rPr>
        <w:t>82</w:t>
      </w:r>
      <w:r w:rsidR="003107BA" w:rsidRPr="00EE24B1">
        <w:rPr>
          <w:rFonts w:ascii="宋体" w:hAnsi="宋体" w:hint="eastAsia"/>
          <w:sz w:val="28"/>
          <w:szCs w:val="28"/>
        </w:rPr>
        <w:t>%，较去年同期增长</w:t>
      </w:r>
      <w:r w:rsidR="005C4F0A" w:rsidRPr="00EE24B1">
        <w:rPr>
          <w:rFonts w:ascii="宋体" w:hAnsi="宋体" w:hint="eastAsia"/>
          <w:sz w:val="28"/>
          <w:szCs w:val="28"/>
        </w:rPr>
        <w:t>13</w:t>
      </w:r>
      <w:r w:rsidR="003107BA" w:rsidRPr="00EE24B1">
        <w:rPr>
          <w:rFonts w:ascii="宋体" w:hAnsi="宋体" w:hint="eastAsia"/>
          <w:sz w:val="28"/>
          <w:szCs w:val="28"/>
        </w:rPr>
        <w:t>%。</w:t>
      </w:r>
    </w:p>
    <w:p w:rsidR="003A7A90" w:rsidRPr="002C5D67" w:rsidRDefault="003A7A90" w:rsidP="00413F66">
      <w:pPr>
        <w:spacing w:line="280" w:lineRule="exact"/>
        <w:jc w:val="center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201</w:t>
      </w:r>
      <w:r w:rsidR="005C4F0A">
        <w:rPr>
          <w:rFonts w:ascii="宋体" w:hAnsi="宋体" w:hint="eastAsia"/>
          <w:b/>
          <w:noProof/>
          <w:sz w:val="30"/>
          <w:szCs w:val="30"/>
        </w:rPr>
        <w:t>5</w:t>
      </w:r>
      <w:r w:rsidRPr="002C5D67">
        <w:rPr>
          <w:rFonts w:ascii="宋体" w:hAnsi="宋体" w:hint="eastAsia"/>
          <w:b/>
          <w:noProof/>
          <w:sz w:val="30"/>
          <w:szCs w:val="30"/>
        </w:rPr>
        <w:t>年度新签合同额构成分析</w:t>
      </w:r>
      <w:r w:rsidR="001A369E" w:rsidRPr="002C5D67">
        <w:rPr>
          <w:rFonts w:ascii="宋体" w:hAnsi="宋体" w:hint="eastAsia"/>
          <w:b/>
          <w:noProof/>
          <w:szCs w:val="21"/>
        </w:rPr>
        <w:t>（单位：万元）</w:t>
      </w:r>
    </w:p>
    <w:tbl>
      <w:tblPr>
        <w:tblW w:w="14190" w:type="dxa"/>
        <w:jc w:val="center"/>
        <w:tblInd w:w="93" w:type="dxa"/>
        <w:tblLook w:val="04A0"/>
      </w:tblPr>
      <w:tblGrid>
        <w:gridCol w:w="629"/>
        <w:gridCol w:w="1579"/>
        <w:gridCol w:w="992"/>
        <w:gridCol w:w="666"/>
        <w:gridCol w:w="632"/>
        <w:gridCol w:w="953"/>
        <w:gridCol w:w="696"/>
        <w:gridCol w:w="897"/>
        <w:gridCol w:w="777"/>
        <w:gridCol w:w="964"/>
        <w:gridCol w:w="666"/>
        <w:gridCol w:w="889"/>
        <w:gridCol w:w="756"/>
        <w:gridCol w:w="918"/>
        <w:gridCol w:w="666"/>
        <w:gridCol w:w="844"/>
        <w:gridCol w:w="666"/>
      </w:tblGrid>
      <w:tr w:rsidR="006B2B95" w:rsidRPr="002C5D67" w:rsidTr="00EE24B1">
        <w:trPr>
          <w:trHeight w:val="402"/>
          <w:jc w:val="center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33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勘测合同总额</w:t>
            </w:r>
          </w:p>
        </w:tc>
        <w:tc>
          <w:tcPr>
            <w:tcW w:w="32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设计合同总额</w:t>
            </w:r>
          </w:p>
        </w:tc>
        <w:tc>
          <w:tcPr>
            <w:tcW w:w="3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咨询合同总额</w:t>
            </w:r>
          </w:p>
        </w:tc>
      </w:tr>
      <w:tr w:rsidR="006B2B95" w:rsidRPr="002C5D67" w:rsidTr="00EE24B1">
        <w:trPr>
          <w:trHeight w:val="600"/>
          <w:jc w:val="center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B95" w:rsidRPr="002C5D67" w:rsidRDefault="006B2B95" w:rsidP="006B2B9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B95" w:rsidRPr="002C5D67" w:rsidRDefault="006B2B95" w:rsidP="006B2B9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12028175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290893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2.4%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96.2%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1624230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13.5%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91.5%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184467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1.5%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88.6%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4256841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35.4%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98052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33.7%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2.3%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99.9%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466306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28.7%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11.0%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86.0%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19683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56.7%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7251940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60.3%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148216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51.0%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2.0%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89.0%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826910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50.9%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11.4%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87.4%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137689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74.6%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1.9%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98.5%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519394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4.3%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44625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15.3%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8.6%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118.1%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331014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20.4%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63.7%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115.4%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27095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14.7%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5.2%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80.6%</w:t>
            </w:r>
          </w:p>
        </w:tc>
      </w:tr>
    </w:tbl>
    <w:p w:rsidR="005D7651" w:rsidRPr="002C5D67" w:rsidRDefault="005D7651" w:rsidP="003A7A90">
      <w:pPr>
        <w:spacing w:line="360" w:lineRule="auto"/>
        <w:jc w:val="center"/>
        <w:rPr>
          <w:rFonts w:ascii="宋体" w:hAnsi="宋体"/>
          <w:b/>
          <w:noProof/>
          <w:sz w:val="18"/>
          <w:szCs w:val="18"/>
        </w:rPr>
      </w:pPr>
    </w:p>
    <w:tbl>
      <w:tblPr>
        <w:tblW w:w="4906" w:type="pct"/>
        <w:jc w:val="center"/>
        <w:tblInd w:w="108" w:type="dxa"/>
        <w:tblLook w:val="04A0"/>
      </w:tblPr>
      <w:tblGrid>
        <w:gridCol w:w="700"/>
        <w:gridCol w:w="2160"/>
        <w:gridCol w:w="828"/>
        <w:gridCol w:w="791"/>
        <w:gridCol w:w="952"/>
        <w:gridCol w:w="901"/>
        <w:gridCol w:w="1004"/>
        <w:gridCol w:w="1293"/>
        <w:gridCol w:w="896"/>
        <w:gridCol w:w="995"/>
        <w:gridCol w:w="1094"/>
        <w:gridCol w:w="791"/>
        <w:gridCol w:w="933"/>
        <w:gridCol w:w="836"/>
      </w:tblGrid>
      <w:tr w:rsidR="006B2B95" w:rsidRPr="002C5D67" w:rsidTr="00EE24B1">
        <w:trPr>
          <w:trHeight w:val="402"/>
          <w:jc w:val="center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2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监理合同总额</w:t>
            </w:r>
          </w:p>
        </w:tc>
        <w:tc>
          <w:tcPr>
            <w:tcW w:w="14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总承包合同总额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其它合同总额</w:t>
            </w:r>
          </w:p>
        </w:tc>
      </w:tr>
      <w:tr w:rsidR="006B2B95" w:rsidRPr="002C5D67" w:rsidTr="00EE24B1">
        <w:trPr>
          <w:trHeight w:val="600"/>
          <w:jc w:val="center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B95" w:rsidRPr="002C5D67" w:rsidRDefault="006B2B95" w:rsidP="006B2B9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B95" w:rsidRPr="002C5D67" w:rsidRDefault="006B2B95" w:rsidP="006B2B9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B95" w:rsidRPr="002C5D67" w:rsidRDefault="006B2B95" w:rsidP="006B2B9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54849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99.3%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9858824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82.0%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113.0%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14913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0.1%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14.9%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24604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44.9%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0.6%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93.8%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3647240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37.0%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85.7%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116.3%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956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6.4%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203.0%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27445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50.0%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0.4%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102.1%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6098393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61.9%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84.1%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111.3%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13287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89.1%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0.2%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14.2%</w:t>
            </w:r>
          </w:p>
        </w:tc>
      </w:tr>
      <w:tr w:rsidR="005C4F0A" w:rsidRPr="002C5D67" w:rsidTr="00EE24B1">
        <w:trPr>
          <w:trHeight w:val="375"/>
          <w:jc w:val="center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2C5D67" w:rsidRDefault="005C4F0A" w:rsidP="006B2B9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2800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5.1%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133.3%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113191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1.1%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21.8%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101.7%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670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4.5%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0.1%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4F0A" w:rsidRPr="005C4F0A" w:rsidRDefault="005C4F0A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C4F0A">
              <w:rPr>
                <w:rFonts w:asciiTheme="minorEastAsia" w:eastAsiaTheme="minorEastAsia" w:hAnsiTheme="minorEastAsia" w:hint="eastAsia"/>
                <w:sz w:val="18"/>
                <w:szCs w:val="18"/>
              </w:rPr>
              <w:t>11.1%</w:t>
            </w:r>
          </w:p>
        </w:tc>
      </w:tr>
    </w:tbl>
    <w:p w:rsidR="007F35E9" w:rsidRDefault="000B0B20" w:rsidP="000B0B20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 w:rsidRPr="002C5D67">
        <w:rPr>
          <w:rFonts w:hint="eastAsia"/>
          <w:b/>
          <w:sz w:val="28"/>
          <w:szCs w:val="28"/>
        </w:rPr>
        <w:lastRenderedPageBreak/>
        <w:t>各类业务新签合同额按隶属分类构成分析</w:t>
      </w:r>
    </w:p>
    <w:p w:rsidR="00462552" w:rsidRPr="002C5D67" w:rsidRDefault="00462552" w:rsidP="00462552">
      <w:pPr>
        <w:spacing w:line="360" w:lineRule="auto"/>
        <w:ind w:firstLineChars="200" w:firstLine="602"/>
        <w:jc w:val="center"/>
        <w:rPr>
          <w:rFonts w:ascii="宋体" w:hAnsi="宋体"/>
          <w:b/>
          <w:noProof/>
          <w:sz w:val="30"/>
          <w:szCs w:val="30"/>
        </w:rPr>
      </w:pPr>
    </w:p>
    <w:p w:rsidR="007F35E9" w:rsidRDefault="00462552" w:rsidP="007F35E9">
      <w:pPr>
        <w:spacing w:line="360" w:lineRule="auto"/>
        <w:rPr>
          <w:rFonts w:ascii="宋体" w:hAnsi="宋体"/>
          <w:b/>
          <w:noProof/>
          <w:sz w:val="30"/>
          <w:szCs w:val="30"/>
        </w:rPr>
      </w:pPr>
      <w:r>
        <w:rPr>
          <w:rFonts w:ascii="宋体" w:hAnsi="宋体"/>
          <w:b/>
          <w:noProof/>
          <w:sz w:val="30"/>
          <w:szCs w:val="30"/>
        </w:rPr>
        <w:drawing>
          <wp:inline distT="0" distB="0" distL="0" distR="0">
            <wp:extent cx="8677275" cy="3905250"/>
            <wp:effectExtent l="19050" t="0" r="9525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FC" w:rsidRPr="002C5D67" w:rsidRDefault="000D61FC" w:rsidP="000D61FC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t>2.2境外新签合同额分析</w:t>
      </w:r>
    </w:p>
    <w:p w:rsidR="000D61FC" w:rsidRPr="00EE24B1" w:rsidRDefault="000D61FC" w:rsidP="00EE24B1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EE24B1">
        <w:rPr>
          <w:rFonts w:ascii="宋体" w:hAnsi="宋体" w:hint="eastAsia"/>
          <w:sz w:val="28"/>
          <w:szCs w:val="28"/>
        </w:rPr>
        <w:t>201</w:t>
      </w:r>
      <w:r w:rsidR="005C4F0A" w:rsidRPr="00EE24B1">
        <w:rPr>
          <w:rFonts w:ascii="宋体" w:hAnsi="宋体" w:hint="eastAsia"/>
          <w:sz w:val="28"/>
          <w:szCs w:val="28"/>
        </w:rPr>
        <w:t>5</w:t>
      </w:r>
      <w:r w:rsidRPr="00EE24B1">
        <w:rPr>
          <w:rFonts w:ascii="宋体" w:hAnsi="宋体" w:hint="eastAsia"/>
          <w:sz w:val="28"/>
          <w:szCs w:val="28"/>
        </w:rPr>
        <w:t>年，新签订境外合同总额为</w:t>
      </w:r>
      <w:r w:rsidR="005B1DA0" w:rsidRPr="00EE24B1">
        <w:rPr>
          <w:rFonts w:ascii="宋体" w:hAnsi="宋体" w:hint="eastAsia"/>
          <w:sz w:val="28"/>
          <w:szCs w:val="28"/>
        </w:rPr>
        <w:t>280.1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元，占新签合同总额的</w:t>
      </w:r>
      <w:r w:rsidR="005B1DA0" w:rsidRPr="00EE24B1">
        <w:rPr>
          <w:rFonts w:ascii="宋体" w:hAnsi="宋体" w:hint="eastAsia"/>
          <w:sz w:val="28"/>
          <w:szCs w:val="28"/>
        </w:rPr>
        <w:t>23.3</w:t>
      </w:r>
      <w:r w:rsidRPr="00EE24B1">
        <w:rPr>
          <w:rFonts w:ascii="宋体" w:hAnsi="宋体" w:hint="eastAsia"/>
          <w:sz w:val="28"/>
          <w:szCs w:val="28"/>
        </w:rPr>
        <w:t>%</w:t>
      </w:r>
      <w:r w:rsidR="00274512" w:rsidRPr="00EE24B1">
        <w:rPr>
          <w:rFonts w:ascii="宋体" w:hAnsi="宋体" w:hint="eastAsia"/>
          <w:sz w:val="28"/>
          <w:szCs w:val="28"/>
        </w:rPr>
        <w:t>，较去年同期大幅增长</w:t>
      </w:r>
      <w:r w:rsidR="005B1DA0" w:rsidRPr="00EE24B1">
        <w:rPr>
          <w:rFonts w:ascii="宋体" w:hAnsi="宋体" w:hint="eastAsia"/>
          <w:sz w:val="28"/>
          <w:szCs w:val="28"/>
        </w:rPr>
        <w:t>9</w:t>
      </w:r>
      <w:r w:rsidR="00A53C44" w:rsidRPr="00EE24B1">
        <w:rPr>
          <w:rFonts w:ascii="宋体" w:hAnsi="宋体" w:hint="eastAsia"/>
          <w:sz w:val="28"/>
          <w:szCs w:val="28"/>
        </w:rPr>
        <w:t>%</w:t>
      </w:r>
      <w:r w:rsidR="00274512" w:rsidRPr="00EE24B1">
        <w:rPr>
          <w:rFonts w:ascii="宋体" w:hAnsi="宋体" w:hint="eastAsia"/>
          <w:sz w:val="28"/>
          <w:szCs w:val="28"/>
        </w:rPr>
        <w:t>，海外业务</w:t>
      </w:r>
      <w:r w:rsidR="004C21B0" w:rsidRPr="00EE24B1">
        <w:rPr>
          <w:rFonts w:ascii="宋体" w:hAnsi="宋体" w:hint="eastAsia"/>
          <w:sz w:val="28"/>
          <w:szCs w:val="28"/>
        </w:rPr>
        <w:t>保持继续</w:t>
      </w:r>
      <w:r w:rsidR="00274512" w:rsidRPr="00EE24B1">
        <w:rPr>
          <w:rFonts w:ascii="宋体" w:hAnsi="宋体" w:hint="eastAsia"/>
          <w:sz w:val="28"/>
          <w:szCs w:val="28"/>
        </w:rPr>
        <w:t>增长态势</w:t>
      </w:r>
      <w:r w:rsidRPr="00EE24B1">
        <w:rPr>
          <w:rFonts w:ascii="宋体" w:hAnsi="宋体" w:hint="eastAsia"/>
          <w:sz w:val="28"/>
          <w:szCs w:val="28"/>
        </w:rPr>
        <w:t>。其中：顾问集团</w:t>
      </w:r>
      <w:r w:rsidR="005B1DA0" w:rsidRPr="00EE24B1">
        <w:rPr>
          <w:rFonts w:ascii="宋体" w:hAnsi="宋体" w:hint="eastAsia"/>
          <w:sz w:val="28"/>
          <w:szCs w:val="28"/>
        </w:rPr>
        <w:t>115.6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</w:t>
      </w:r>
      <w:r w:rsidR="005B1DA0" w:rsidRPr="00EE24B1">
        <w:rPr>
          <w:rFonts w:ascii="宋体" w:hAnsi="宋体" w:hint="eastAsia"/>
          <w:sz w:val="28"/>
          <w:szCs w:val="28"/>
        </w:rPr>
        <w:t>41</w:t>
      </w:r>
      <w:r w:rsidRPr="00EE24B1">
        <w:rPr>
          <w:rFonts w:ascii="宋体" w:hAnsi="宋体" w:hint="eastAsia"/>
          <w:sz w:val="28"/>
          <w:szCs w:val="28"/>
        </w:rPr>
        <w:t>%</w:t>
      </w:r>
      <w:r w:rsidR="00274512" w:rsidRPr="00EE24B1">
        <w:rPr>
          <w:rFonts w:ascii="宋体" w:hAnsi="宋体" w:hint="eastAsia"/>
          <w:sz w:val="28"/>
          <w:szCs w:val="28"/>
        </w:rPr>
        <w:t>，较去年同比增长2</w:t>
      </w:r>
      <w:r w:rsidR="005B1DA0" w:rsidRPr="00EE24B1">
        <w:rPr>
          <w:rFonts w:ascii="宋体" w:hAnsi="宋体" w:hint="eastAsia"/>
          <w:sz w:val="28"/>
          <w:szCs w:val="28"/>
        </w:rPr>
        <w:t>7</w:t>
      </w:r>
      <w:r w:rsidR="00274512" w:rsidRPr="00EE24B1">
        <w:rPr>
          <w:rFonts w:ascii="宋体" w:hAnsi="宋体" w:hint="eastAsia"/>
          <w:sz w:val="28"/>
          <w:szCs w:val="28"/>
        </w:rPr>
        <w:t>%</w:t>
      </w:r>
      <w:r w:rsidRPr="00EE24B1">
        <w:rPr>
          <w:rFonts w:ascii="宋体" w:hAnsi="宋体" w:hint="eastAsia"/>
          <w:sz w:val="28"/>
          <w:szCs w:val="28"/>
        </w:rPr>
        <w:t>；省级设计院</w:t>
      </w:r>
      <w:r w:rsidR="00A53C44" w:rsidRPr="00EE24B1">
        <w:rPr>
          <w:rFonts w:ascii="宋体" w:hAnsi="宋体" w:hint="eastAsia"/>
          <w:sz w:val="28"/>
          <w:szCs w:val="28"/>
        </w:rPr>
        <w:t>1</w:t>
      </w:r>
      <w:r w:rsidR="00366677" w:rsidRPr="00EE24B1">
        <w:rPr>
          <w:rFonts w:ascii="宋体" w:hAnsi="宋体" w:hint="eastAsia"/>
          <w:sz w:val="28"/>
          <w:szCs w:val="28"/>
        </w:rPr>
        <w:t>4.5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元，占</w:t>
      </w:r>
      <w:r w:rsidR="00366677" w:rsidRPr="00EE24B1">
        <w:rPr>
          <w:rFonts w:ascii="宋体" w:hAnsi="宋体" w:hint="eastAsia"/>
          <w:sz w:val="28"/>
          <w:szCs w:val="28"/>
        </w:rPr>
        <w:t>59</w:t>
      </w:r>
      <w:r w:rsidRPr="00EE24B1">
        <w:rPr>
          <w:rFonts w:ascii="宋体" w:hAnsi="宋体" w:hint="eastAsia"/>
          <w:sz w:val="28"/>
          <w:szCs w:val="28"/>
        </w:rPr>
        <w:t>%</w:t>
      </w:r>
      <w:r w:rsidR="00274512" w:rsidRPr="00EE24B1">
        <w:rPr>
          <w:rFonts w:ascii="宋体" w:hAnsi="宋体" w:hint="eastAsia"/>
          <w:sz w:val="28"/>
          <w:szCs w:val="28"/>
        </w:rPr>
        <w:t>，较去年</w:t>
      </w:r>
      <w:r w:rsidR="00274512" w:rsidRPr="00EE24B1">
        <w:rPr>
          <w:rFonts w:ascii="宋体" w:hAnsi="宋体" w:hint="eastAsia"/>
          <w:sz w:val="28"/>
          <w:szCs w:val="28"/>
        </w:rPr>
        <w:lastRenderedPageBreak/>
        <w:t>同比</w:t>
      </w:r>
      <w:r w:rsidR="00366677" w:rsidRPr="00EE24B1">
        <w:rPr>
          <w:rFonts w:ascii="宋体" w:hAnsi="宋体" w:hint="eastAsia"/>
          <w:sz w:val="28"/>
          <w:szCs w:val="28"/>
        </w:rPr>
        <w:t>减少1</w:t>
      </w:r>
      <w:r w:rsidR="00A53C44" w:rsidRPr="00EE24B1">
        <w:rPr>
          <w:rFonts w:ascii="宋体" w:hAnsi="宋体" w:hint="eastAsia"/>
          <w:sz w:val="28"/>
          <w:szCs w:val="28"/>
        </w:rPr>
        <w:t>%</w:t>
      </w:r>
      <w:r w:rsidRPr="00EE24B1">
        <w:rPr>
          <w:rFonts w:ascii="宋体" w:hAnsi="宋体" w:hint="eastAsia"/>
          <w:sz w:val="28"/>
          <w:szCs w:val="28"/>
        </w:rPr>
        <w:t>。</w:t>
      </w:r>
      <w:r w:rsidR="00031BCE" w:rsidRPr="00EE24B1">
        <w:rPr>
          <w:rFonts w:ascii="宋体" w:hAnsi="宋体" w:hint="eastAsia"/>
          <w:sz w:val="28"/>
          <w:szCs w:val="28"/>
        </w:rPr>
        <w:t>在</w:t>
      </w:r>
      <w:r w:rsidR="00274512" w:rsidRPr="00EE24B1">
        <w:rPr>
          <w:rFonts w:ascii="宋体" w:hAnsi="宋体" w:hint="eastAsia"/>
          <w:sz w:val="28"/>
          <w:szCs w:val="28"/>
        </w:rPr>
        <w:t>业务类型构成</w:t>
      </w:r>
      <w:r w:rsidR="00031BCE" w:rsidRPr="00EE24B1">
        <w:rPr>
          <w:rFonts w:ascii="宋体" w:hAnsi="宋体" w:hint="eastAsia"/>
          <w:sz w:val="28"/>
          <w:szCs w:val="28"/>
        </w:rPr>
        <w:t>中</w:t>
      </w:r>
      <w:r w:rsidRPr="00EE24B1">
        <w:rPr>
          <w:rFonts w:ascii="宋体" w:hAnsi="宋体" w:hint="eastAsia"/>
          <w:sz w:val="28"/>
          <w:szCs w:val="28"/>
        </w:rPr>
        <w:t>总承包</w:t>
      </w:r>
      <w:r w:rsidR="00274512" w:rsidRPr="00EE24B1">
        <w:rPr>
          <w:rFonts w:ascii="宋体" w:hAnsi="宋体" w:hint="eastAsia"/>
          <w:sz w:val="28"/>
          <w:szCs w:val="28"/>
        </w:rPr>
        <w:t>业务</w:t>
      </w:r>
      <w:r w:rsidRPr="00EE24B1">
        <w:rPr>
          <w:rFonts w:ascii="宋体" w:hAnsi="宋体" w:hint="eastAsia"/>
          <w:sz w:val="28"/>
          <w:szCs w:val="28"/>
        </w:rPr>
        <w:t>具有绝对优势，占</w:t>
      </w:r>
      <w:r w:rsidR="00274512" w:rsidRPr="00EE24B1">
        <w:rPr>
          <w:rFonts w:ascii="宋体" w:hAnsi="宋体" w:hint="eastAsia"/>
          <w:sz w:val="28"/>
          <w:szCs w:val="28"/>
        </w:rPr>
        <w:t>境外合同额的</w:t>
      </w:r>
      <w:r w:rsidR="00A53C44" w:rsidRPr="00EE24B1">
        <w:rPr>
          <w:rFonts w:ascii="宋体" w:hAnsi="宋体" w:hint="eastAsia"/>
          <w:sz w:val="28"/>
          <w:szCs w:val="28"/>
        </w:rPr>
        <w:t>9</w:t>
      </w:r>
      <w:r w:rsidR="00366677" w:rsidRPr="00EE24B1">
        <w:rPr>
          <w:rFonts w:ascii="宋体" w:hAnsi="宋体" w:hint="eastAsia"/>
          <w:sz w:val="28"/>
          <w:szCs w:val="28"/>
        </w:rPr>
        <w:t>5</w:t>
      </w:r>
      <w:r w:rsidRPr="00EE24B1">
        <w:rPr>
          <w:rFonts w:ascii="宋体" w:hAnsi="宋体" w:hint="eastAsia"/>
          <w:sz w:val="28"/>
          <w:szCs w:val="28"/>
        </w:rPr>
        <w:t>%，</w:t>
      </w:r>
      <w:r w:rsidR="00274512" w:rsidRPr="00EE24B1">
        <w:rPr>
          <w:rFonts w:ascii="宋体" w:hAnsi="宋体" w:hint="eastAsia"/>
          <w:sz w:val="28"/>
          <w:szCs w:val="28"/>
        </w:rPr>
        <w:t>同比增加</w:t>
      </w:r>
      <w:r w:rsidR="00366677" w:rsidRPr="00EE24B1">
        <w:rPr>
          <w:rFonts w:ascii="宋体" w:hAnsi="宋体" w:hint="eastAsia"/>
          <w:sz w:val="28"/>
          <w:szCs w:val="28"/>
        </w:rPr>
        <w:t>10</w:t>
      </w:r>
      <w:r w:rsidR="00A53C44" w:rsidRPr="00EE24B1">
        <w:rPr>
          <w:rFonts w:ascii="宋体" w:hAnsi="宋体" w:hint="eastAsia"/>
          <w:sz w:val="28"/>
          <w:szCs w:val="28"/>
        </w:rPr>
        <w:t>%</w:t>
      </w:r>
      <w:r w:rsidR="00274512" w:rsidRPr="00EE24B1">
        <w:rPr>
          <w:rFonts w:ascii="宋体" w:hAnsi="宋体" w:hint="eastAsia"/>
          <w:sz w:val="28"/>
          <w:szCs w:val="28"/>
        </w:rPr>
        <w:t>；</w:t>
      </w:r>
      <w:r w:rsidR="00A53C44" w:rsidRPr="00EE24B1">
        <w:rPr>
          <w:rFonts w:ascii="宋体" w:hAnsi="宋体" w:hint="eastAsia"/>
          <w:sz w:val="28"/>
          <w:szCs w:val="28"/>
        </w:rPr>
        <w:t>勘测设计咨询业务较去年同比减低</w:t>
      </w:r>
      <w:r w:rsidR="00366677" w:rsidRPr="00EE24B1">
        <w:rPr>
          <w:rFonts w:ascii="宋体" w:hAnsi="宋体" w:hint="eastAsia"/>
          <w:sz w:val="28"/>
          <w:szCs w:val="28"/>
        </w:rPr>
        <w:t>22.9</w:t>
      </w:r>
      <w:r w:rsidR="00A53C44" w:rsidRPr="00EE24B1">
        <w:rPr>
          <w:rFonts w:ascii="宋体" w:hAnsi="宋体" w:hint="eastAsia"/>
          <w:sz w:val="28"/>
          <w:szCs w:val="28"/>
        </w:rPr>
        <w:t>个百分点，占境外合同额</w:t>
      </w:r>
      <w:r w:rsidR="00366677" w:rsidRPr="00EE24B1">
        <w:rPr>
          <w:rFonts w:ascii="宋体" w:hAnsi="宋体" w:hint="eastAsia"/>
          <w:sz w:val="28"/>
          <w:szCs w:val="28"/>
        </w:rPr>
        <w:t>5</w:t>
      </w:r>
      <w:r w:rsidR="00A53C44" w:rsidRPr="00EE24B1">
        <w:rPr>
          <w:rFonts w:ascii="宋体" w:hAnsi="宋体" w:hint="eastAsia"/>
          <w:sz w:val="28"/>
          <w:szCs w:val="28"/>
        </w:rPr>
        <w:t>%。</w:t>
      </w:r>
    </w:p>
    <w:p w:rsidR="00E7071D" w:rsidRPr="002C5D67" w:rsidRDefault="000D61FC" w:rsidP="000D61FC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境外合同额构成分析</w:t>
      </w:r>
      <w:r w:rsidR="007E2780" w:rsidRPr="002C5D67">
        <w:rPr>
          <w:rFonts w:ascii="宋体" w:hAnsi="宋体" w:hint="eastAsia"/>
          <w:b/>
          <w:noProof/>
          <w:sz w:val="30"/>
          <w:szCs w:val="30"/>
        </w:rPr>
        <w:t>（单位：万元）</w:t>
      </w:r>
    </w:p>
    <w:tbl>
      <w:tblPr>
        <w:tblW w:w="5000" w:type="pct"/>
        <w:tblLook w:val="04A0"/>
      </w:tblPr>
      <w:tblGrid>
        <w:gridCol w:w="745"/>
        <w:gridCol w:w="1170"/>
        <w:gridCol w:w="968"/>
        <w:gridCol w:w="665"/>
        <w:gridCol w:w="933"/>
        <w:gridCol w:w="800"/>
        <w:gridCol w:w="887"/>
        <w:gridCol w:w="884"/>
        <w:gridCol w:w="751"/>
        <w:gridCol w:w="893"/>
        <w:gridCol w:w="844"/>
        <w:gridCol w:w="907"/>
        <w:gridCol w:w="844"/>
        <w:gridCol w:w="797"/>
        <w:gridCol w:w="665"/>
        <w:gridCol w:w="933"/>
        <w:gridCol w:w="760"/>
      </w:tblGrid>
      <w:tr w:rsidR="000D61FC" w:rsidRPr="002C5D67" w:rsidTr="003C70DF">
        <w:trPr>
          <w:trHeight w:val="402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8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115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勘测境外合同额</w:t>
            </w:r>
          </w:p>
        </w:tc>
        <w:tc>
          <w:tcPr>
            <w:tcW w:w="120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设计境外合同额</w:t>
            </w:r>
          </w:p>
        </w:tc>
        <w:tc>
          <w:tcPr>
            <w:tcW w:w="10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咨询境外合同额</w:t>
            </w:r>
          </w:p>
        </w:tc>
      </w:tr>
      <w:tr w:rsidR="000D61FC" w:rsidRPr="002C5D67" w:rsidTr="003C70DF">
        <w:trPr>
          <w:trHeight w:val="600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1FC" w:rsidRPr="002C5D67" w:rsidRDefault="000D61FC" w:rsidP="000D61F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61FC" w:rsidRPr="002C5D67" w:rsidRDefault="000D61FC" w:rsidP="000D61F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366677" w:rsidRPr="002C5D67" w:rsidTr="003C70DF">
        <w:trPr>
          <w:trHeight w:val="402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2801179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10338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0.4%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48%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125516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90%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5434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0.19%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374%</w:t>
            </w:r>
          </w:p>
        </w:tc>
      </w:tr>
      <w:tr w:rsidR="00366677" w:rsidRPr="002C5D67" w:rsidTr="003C70DF">
        <w:trPr>
          <w:trHeight w:val="402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1156305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41%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127%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5760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56%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83597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67%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7%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248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0.02%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366677" w:rsidRPr="002C5D67" w:rsidTr="003C70DF">
        <w:trPr>
          <w:trHeight w:val="402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1644874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59%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4578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44%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0.3%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139%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41919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33%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79%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5186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95%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0.32%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357%</w:t>
            </w:r>
          </w:p>
        </w:tc>
      </w:tr>
      <w:tr w:rsidR="00366677" w:rsidRPr="002C5D67" w:rsidTr="003C70DF">
        <w:trPr>
          <w:trHeight w:val="660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</w:tbl>
    <w:p w:rsidR="00E7071D" w:rsidRPr="002C5D67" w:rsidRDefault="00E7071D" w:rsidP="007F35E9">
      <w:pPr>
        <w:spacing w:line="360" w:lineRule="auto"/>
        <w:rPr>
          <w:rFonts w:ascii="宋体" w:hAnsi="宋体"/>
          <w:b/>
          <w:noProof/>
          <w:sz w:val="10"/>
          <w:szCs w:val="10"/>
        </w:rPr>
      </w:pPr>
    </w:p>
    <w:tbl>
      <w:tblPr>
        <w:tblW w:w="5000" w:type="pct"/>
        <w:tblLook w:val="04A0"/>
      </w:tblPr>
      <w:tblGrid>
        <w:gridCol w:w="861"/>
        <w:gridCol w:w="2121"/>
        <w:gridCol w:w="760"/>
        <w:gridCol w:w="991"/>
        <w:gridCol w:w="1124"/>
        <w:gridCol w:w="864"/>
        <w:gridCol w:w="1109"/>
        <w:gridCol w:w="1017"/>
        <w:gridCol w:w="1040"/>
        <w:gridCol w:w="942"/>
        <w:gridCol w:w="936"/>
        <w:gridCol w:w="835"/>
        <w:gridCol w:w="1017"/>
        <w:gridCol w:w="829"/>
      </w:tblGrid>
      <w:tr w:rsidR="000D61FC" w:rsidRPr="002C5D67" w:rsidTr="006E3D73">
        <w:trPr>
          <w:trHeight w:val="402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29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监理境外合同额</w:t>
            </w:r>
          </w:p>
        </w:tc>
        <w:tc>
          <w:tcPr>
            <w:tcW w:w="14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总承包境外合同额</w:t>
            </w:r>
          </w:p>
        </w:tc>
        <w:tc>
          <w:tcPr>
            <w:tcW w:w="12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其它境外合同额</w:t>
            </w:r>
          </w:p>
        </w:tc>
      </w:tr>
      <w:tr w:rsidR="000D61FC" w:rsidRPr="002C5D67" w:rsidTr="006E3D73">
        <w:trPr>
          <w:trHeight w:val="600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1FC" w:rsidRPr="002C5D67" w:rsidRDefault="000D61FC" w:rsidP="000D61F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61FC" w:rsidRPr="002C5D67" w:rsidRDefault="000D61FC" w:rsidP="000D61F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61FC" w:rsidRPr="002C5D67" w:rsidRDefault="000D61FC" w:rsidP="000D61F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366677" w:rsidRPr="002C5D67" w:rsidTr="006E3D73">
        <w:trPr>
          <w:trHeight w:val="402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6615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0.24%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204%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2652524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95%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753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366677" w:rsidRPr="002C5D67" w:rsidTr="006E3D73">
        <w:trPr>
          <w:trHeight w:val="402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6615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0.57%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204%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1060085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40%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132%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366677" w:rsidRPr="002C5D67" w:rsidTr="006E3D73">
        <w:trPr>
          <w:trHeight w:val="402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1592439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60%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753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366677" w:rsidRPr="002C5D67" w:rsidTr="006E3D73">
        <w:trPr>
          <w:trHeight w:val="660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2C5D67" w:rsidRDefault="00366677" w:rsidP="000D61F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6677" w:rsidRPr="00366677" w:rsidRDefault="00366677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3666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</w:tbl>
    <w:p w:rsidR="00413F66" w:rsidRDefault="00413F66" w:rsidP="006E3D73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:rsidR="00413F66" w:rsidRDefault="00413F66" w:rsidP="006E3D73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:rsidR="00413F66" w:rsidRDefault="00413F66" w:rsidP="006E3D73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:rsidR="006E3D73" w:rsidRPr="002C5D67" w:rsidRDefault="006E3D73" w:rsidP="006E3D73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各类业务境外合同额按单位隶属级别构成饼图</w:t>
      </w:r>
    </w:p>
    <w:p w:rsidR="0016475F" w:rsidRPr="002C5D67" w:rsidRDefault="0016475F" w:rsidP="006E3D73">
      <w:pPr>
        <w:spacing w:line="360" w:lineRule="auto"/>
        <w:jc w:val="center"/>
        <w:rPr>
          <w:rFonts w:ascii="宋体" w:hAnsi="宋体"/>
          <w:b/>
          <w:sz w:val="10"/>
          <w:szCs w:val="10"/>
        </w:rPr>
      </w:pPr>
    </w:p>
    <w:p w:rsidR="00E7071D" w:rsidRPr="002C5D67" w:rsidRDefault="00366677" w:rsidP="00EE24B1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366677">
        <w:rPr>
          <w:noProof/>
        </w:rPr>
        <w:drawing>
          <wp:inline distT="0" distB="0" distL="0" distR="0">
            <wp:extent cx="3067050" cy="2076450"/>
            <wp:effectExtent l="19050" t="0" r="19050" b="0"/>
            <wp:docPr id="37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 w:rsidRPr="00366677">
        <w:rPr>
          <w:noProof/>
        </w:rPr>
        <w:drawing>
          <wp:inline distT="0" distB="0" distL="0" distR="0">
            <wp:extent cx="2762250" cy="2076450"/>
            <wp:effectExtent l="19050" t="0" r="19050" b="0"/>
            <wp:docPr id="38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  <w:r w:rsidRPr="00366677">
        <w:rPr>
          <w:noProof/>
        </w:rPr>
        <w:drawing>
          <wp:inline distT="0" distB="0" distL="0" distR="0">
            <wp:extent cx="2809875" cy="2076450"/>
            <wp:effectExtent l="19050" t="0" r="9525" b="0"/>
            <wp:docPr id="39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16475F" w:rsidRPr="002C5D67" w:rsidRDefault="0016475F" w:rsidP="007F35E9">
      <w:pPr>
        <w:spacing w:line="360" w:lineRule="auto"/>
        <w:rPr>
          <w:rFonts w:ascii="宋体" w:hAnsi="宋体"/>
          <w:b/>
          <w:noProof/>
          <w:sz w:val="10"/>
          <w:szCs w:val="10"/>
        </w:rPr>
      </w:pPr>
    </w:p>
    <w:p w:rsidR="002A7641" w:rsidRPr="002C5D67" w:rsidRDefault="002A7641" w:rsidP="007F35E9">
      <w:pPr>
        <w:spacing w:line="360" w:lineRule="auto"/>
        <w:rPr>
          <w:rFonts w:ascii="宋体" w:hAnsi="宋体"/>
          <w:b/>
          <w:noProof/>
          <w:sz w:val="10"/>
          <w:szCs w:val="10"/>
        </w:rPr>
      </w:pPr>
    </w:p>
    <w:p w:rsidR="002A7641" w:rsidRPr="002C5D67" w:rsidRDefault="002A7641" w:rsidP="007F35E9">
      <w:pPr>
        <w:spacing w:line="360" w:lineRule="auto"/>
        <w:rPr>
          <w:rFonts w:ascii="宋体" w:hAnsi="宋体"/>
          <w:b/>
          <w:noProof/>
          <w:sz w:val="10"/>
          <w:szCs w:val="10"/>
        </w:rPr>
      </w:pPr>
    </w:p>
    <w:p w:rsidR="0016475F" w:rsidRPr="002C5D67" w:rsidRDefault="00366677" w:rsidP="00EE24B1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366677">
        <w:rPr>
          <w:rFonts w:ascii="宋体" w:hAnsi="宋体"/>
          <w:b/>
          <w:noProof/>
          <w:sz w:val="30"/>
          <w:szCs w:val="30"/>
        </w:rPr>
        <w:drawing>
          <wp:inline distT="0" distB="0" distL="0" distR="0">
            <wp:extent cx="2981325" cy="2314575"/>
            <wp:effectExtent l="19050" t="0" r="9525" b="0"/>
            <wp:docPr id="41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 w:rsidRPr="00366677">
        <w:rPr>
          <w:rFonts w:ascii="宋体" w:hAnsi="宋体"/>
          <w:b/>
          <w:noProof/>
          <w:sz w:val="30"/>
          <w:szCs w:val="30"/>
        </w:rPr>
        <w:drawing>
          <wp:inline distT="0" distB="0" distL="0" distR="0">
            <wp:extent cx="2895600" cy="2324100"/>
            <wp:effectExtent l="19050" t="0" r="19050" b="0"/>
            <wp:docPr id="44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366677">
        <w:rPr>
          <w:rFonts w:ascii="宋体" w:hAnsi="宋体"/>
          <w:b/>
          <w:noProof/>
          <w:sz w:val="30"/>
          <w:szCs w:val="30"/>
        </w:rPr>
        <w:drawing>
          <wp:inline distT="0" distB="0" distL="0" distR="0">
            <wp:extent cx="2838450" cy="2343150"/>
            <wp:effectExtent l="19050" t="0" r="19050" b="0"/>
            <wp:docPr id="5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16475F" w:rsidRPr="002C5D67" w:rsidRDefault="0016475F" w:rsidP="007F35E9">
      <w:pPr>
        <w:spacing w:line="360" w:lineRule="auto"/>
        <w:rPr>
          <w:rFonts w:ascii="宋体" w:hAnsi="宋体"/>
          <w:b/>
          <w:noProof/>
          <w:sz w:val="30"/>
          <w:szCs w:val="30"/>
        </w:rPr>
      </w:pPr>
    </w:p>
    <w:p w:rsidR="00DC33B7" w:rsidRPr="002E360D" w:rsidRDefault="00DC33B7" w:rsidP="00DC33B7">
      <w:pPr>
        <w:pStyle w:val="3"/>
        <w:numPr>
          <w:ilvl w:val="0"/>
          <w:numId w:val="2"/>
        </w:numPr>
        <w:tabs>
          <w:tab w:val="clear" w:pos="425"/>
          <w:tab w:val="num" w:pos="567"/>
        </w:tabs>
        <w:ind w:left="567"/>
        <w:rPr>
          <w:rFonts w:ascii="宋体" w:hAnsi="宋体"/>
          <w:sz w:val="28"/>
          <w:szCs w:val="28"/>
        </w:rPr>
      </w:pPr>
      <w:bookmarkStart w:id="52" w:name="_Toc450668462"/>
      <w:r w:rsidRPr="002E360D">
        <w:rPr>
          <w:rFonts w:ascii="宋体" w:hAnsi="宋体" w:hint="eastAsia"/>
          <w:sz w:val="28"/>
          <w:szCs w:val="28"/>
        </w:rPr>
        <w:lastRenderedPageBreak/>
        <w:t>完成产值情况分析</w:t>
      </w:r>
      <w:bookmarkEnd w:id="52"/>
    </w:p>
    <w:p w:rsidR="00DC33B7" w:rsidRPr="00EE24B1" w:rsidRDefault="00DC33B7" w:rsidP="00DC33B7">
      <w:pPr>
        <w:spacing w:line="360" w:lineRule="auto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</w:t>
      </w:r>
      <w:r w:rsidRPr="00EE24B1">
        <w:rPr>
          <w:rFonts w:ascii="宋体" w:hAnsi="宋体" w:hint="eastAsia"/>
          <w:sz w:val="28"/>
          <w:szCs w:val="28"/>
        </w:rPr>
        <w:t>201</w:t>
      </w:r>
      <w:r w:rsidR="00462552" w:rsidRPr="00EE24B1">
        <w:rPr>
          <w:rFonts w:ascii="宋体" w:hAnsi="宋体" w:hint="eastAsia"/>
          <w:sz w:val="28"/>
          <w:szCs w:val="28"/>
        </w:rPr>
        <w:t>5</w:t>
      </w:r>
      <w:r w:rsidRPr="00EE24B1">
        <w:rPr>
          <w:rFonts w:ascii="宋体" w:hAnsi="宋体" w:hint="eastAsia"/>
          <w:sz w:val="28"/>
          <w:szCs w:val="28"/>
        </w:rPr>
        <w:t>年，完成产值总额为</w:t>
      </w:r>
      <w:r w:rsidR="00284D97" w:rsidRPr="00EE24B1">
        <w:rPr>
          <w:rFonts w:ascii="宋体" w:hAnsi="宋体" w:hint="eastAsia"/>
          <w:sz w:val="28"/>
          <w:szCs w:val="28"/>
        </w:rPr>
        <w:t>245.29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元,同比</w:t>
      </w:r>
      <w:r w:rsidR="000E771F" w:rsidRPr="00EE24B1">
        <w:rPr>
          <w:rFonts w:ascii="宋体" w:hAnsi="宋体" w:hint="eastAsia"/>
          <w:sz w:val="28"/>
          <w:szCs w:val="28"/>
        </w:rPr>
        <w:t>减少</w:t>
      </w:r>
      <w:r w:rsidR="00284D97" w:rsidRPr="00EE24B1">
        <w:rPr>
          <w:rFonts w:ascii="宋体" w:hAnsi="宋体" w:hint="eastAsia"/>
          <w:sz w:val="28"/>
          <w:szCs w:val="28"/>
        </w:rPr>
        <w:t>2</w:t>
      </w:r>
      <w:r w:rsidRPr="00EE24B1">
        <w:rPr>
          <w:rFonts w:ascii="宋体" w:hAnsi="宋体" w:hint="eastAsia"/>
          <w:sz w:val="28"/>
          <w:szCs w:val="28"/>
        </w:rPr>
        <w:t>%。其中：顾问集团</w:t>
      </w:r>
      <w:r w:rsidR="00284D97" w:rsidRPr="00EE24B1">
        <w:rPr>
          <w:rFonts w:ascii="宋体" w:hAnsi="宋体" w:hint="eastAsia"/>
          <w:sz w:val="28"/>
          <w:szCs w:val="28"/>
        </w:rPr>
        <w:t>72.21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</w:t>
      </w:r>
      <w:r w:rsidR="000E771F" w:rsidRPr="00EE24B1">
        <w:rPr>
          <w:rFonts w:ascii="宋体" w:hAnsi="宋体" w:hint="eastAsia"/>
          <w:sz w:val="28"/>
          <w:szCs w:val="28"/>
        </w:rPr>
        <w:t>减少9</w:t>
      </w:r>
      <w:r w:rsidR="00AA7827" w:rsidRPr="00EE24B1">
        <w:rPr>
          <w:rFonts w:ascii="宋体" w:hAnsi="宋体" w:hint="eastAsia"/>
          <w:sz w:val="28"/>
          <w:szCs w:val="28"/>
        </w:rPr>
        <w:t>%，</w:t>
      </w:r>
      <w:r w:rsidRPr="00EE24B1">
        <w:rPr>
          <w:rFonts w:ascii="宋体" w:hAnsi="宋体" w:hint="eastAsia"/>
          <w:sz w:val="28"/>
          <w:szCs w:val="28"/>
        </w:rPr>
        <w:t>占</w:t>
      </w:r>
      <w:r w:rsidR="00284D97" w:rsidRPr="00EE24B1">
        <w:rPr>
          <w:rFonts w:ascii="宋体" w:hAnsi="宋体" w:hint="eastAsia"/>
          <w:sz w:val="28"/>
          <w:szCs w:val="28"/>
        </w:rPr>
        <w:t>29</w:t>
      </w:r>
      <w:r w:rsidRPr="00EE24B1">
        <w:rPr>
          <w:rFonts w:ascii="宋体" w:hAnsi="宋体" w:hint="eastAsia"/>
          <w:sz w:val="28"/>
          <w:szCs w:val="28"/>
        </w:rPr>
        <w:t>%；省属设计院</w:t>
      </w:r>
      <w:r w:rsidR="00284D97" w:rsidRPr="00EE24B1">
        <w:rPr>
          <w:rFonts w:ascii="宋体" w:hAnsi="宋体" w:hint="eastAsia"/>
          <w:sz w:val="28"/>
          <w:szCs w:val="28"/>
        </w:rPr>
        <w:t>138.57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</w:t>
      </w:r>
      <w:r w:rsidR="00284D97" w:rsidRPr="00EE24B1">
        <w:rPr>
          <w:rFonts w:ascii="宋体" w:hAnsi="宋体" w:hint="eastAsia"/>
          <w:sz w:val="28"/>
          <w:szCs w:val="28"/>
        </w:rPr>
        <w:t>增</w:t>
      </w:r>
      <w:r w:rsidR="002652DC" w:rsidRPr="00EE24B1">
        <w:rPr>
          <w:rFonts w:ascii="宋体" w:hAnsi="宋体" w:hint="eastAsia"/>
          <w:sz w:val="28"/>
          <w:szCs w:val="28"/>
        </w:rPr>
        <w:t>长</w:t>
      </w:r>
      <w:r w:rsidR="00284D97" w:rsidRPr="00EE24B1">
        <w:rPr>
          <w:rFonts w:ascii="宋体" w:hAnsi="宋体" w:hint="eastAsia"/>
          <w:sz w:val="28"/>
          <w:szCs w:val="28"/>
        </w:rPr>
        <w:t>3</w:t>
      </w:r>
      <w:r w:rsidR="00AA7827" w:rsidRPr="00EE24B1">
        <w:rPr>
          <w:rFonts w:ascii="宋体" w:hAnsi="宋体" w:hint="eastAsia"/>
          <w:sz w:val="28"/>
          <w:szCs w:val="28"/>
        </w:rPr>
        <w:t>%，</w:t>
      </w:r>
      <w:r w:rsidRPr="00EE24B1">
        <w:rPr>
          <w:rFonts w:ascii="宋体" w:hAnsi="宋体" w:hint="eastAsia"/>
          <w:sz w:val="28"/>
          <w:szCs w:val="28"/>
        </w:rPr>
        <w:t>占</w:t>
      </w:r>
      <w:r w:rsidR="000E771F" w:rsidRPr="00EE24B1">
        <w:rPr>
          <w:rFonts w:ascii="宋体" w:hAnsi="宋体" w:hint="eastAsia"/>
          <w:sz w:val="28"/>
          <w:szCs w:val="28"/>
        </w:rPr>
        <w:t>5</w:t>
      </w:r>
      <w:r w:rsidR="00284D97" w:rsidRPr="00EE24B1">
        <w:rPr>
          <w:rFonts w:ascii="宋体" w:hAnsi="宋体" w:hint="eastAsia"/>
          <w:sz w:val="28"/>
          <w:szCs w:val="28"/>
        </w:rPr>
        <w:t>6</w:t>
      </w:r>
      <w:r w:rsidRPr="00EE24B1">
        <w:rPr>
          <w:rFonts w:ascii="宋体" w:hAnsi="宋体" w:hint="eastAsia"/>
          <w:sz w:val="28"/>
          <w:szCs w:val="28"/>
        </w:rPr>
        <w:t>%；供电及其他设计院</w:t>
      </w:r>
      <w:r w:rsidR="00284D97" w:rsidRPr="00EE24B1">
        <w:rPr>
          <w:rFonts w:ascii="宋体" w:hAnsi="宋体" w:hint="eastAsia"/>
          <w:sz w:val="28"/>
          <w:szCs w:val="28"/>
        </w:rPr>
        <w:t>34.52</w:t>
      </w:r>
      <w:r w:rsidR="00267539" w:rsidRPr="00EE24B1">
        <w:rPr>
          <w:rFonts w:ascii="宋体" w:hAnsi="宋体" w:hint="eastAsia"/>
          <w:sz w:val="28"/>
          <w:szCs w:val="28"/>
        </w:rPr>
        <w:t>亿</w:t>
      </w:r>
      <w:r w:rsidRPr="00EE24B1">
        <w:rPr>
          <w:rFonts w:ascii="宋体" w:hAnsi="宋体" w:hint="eastAsia"/>
          <w:sz w:val="28"/>
          <w:szCs w:val="28"/>
        </w:rPr>
        <w:t>元，</w:t>
      </w:r>
      <w:r w:rsidR="00AA7827" w:rsidRPr="00EE24B1">
        <w:rPr>
          <w:rFonts w:ascii="宋体" w:hAnsi="宋体" w:hint="eastAsia"/>
          <w:sz w:val="28"/>
          <w:szCs w:val="28"/>
        </w:rPr>
        <w:t>减少</w:t>
      </w:r>
      <w:r w:rsidR="00284D97" w:rsidRPr="00EE24B1">
        <w:rPr>
          <w:rFonts w:ascii="宋体" w:hAnsi="宋体" w:hint="eastAsia"/>
          <w:sz w:val="28"/>
          <w:szCs w:val="28"/>
        </w:rPr>
        <w:t>5</w:t>
      </w:r>
      <w:r w:rsidR="00AA7827" w:rsidRPr="00EE24B1">
        <w:rPr>
          <w:rFonts w:ascii="宋体" w:hAnsi="宋体" w:hint="eastAsia"/>
          <w:sz w:val="28"/>
          <w:szCs w:val="28"/>
        </w:rPr>
        <w:t>%，</w:t>
      </w:r>
      <w:r w:rsidRPr="00EE24B1">
        <w:rPr>
          <w:rFonts w:ascii="宋体" w:hAnsi="宋体" w:hint="eastAsia"/>
          <w:sz w:val="28"/>
          <w:szCs w:val="28"/>
        </w:rPr>
        <w:t>占</w:t>
      </w:r>
      <w:r w:rsidR="00AA7827" w:rsidRPr="00EE24B1">
        <w:rPr>
          <w:rFonts w:ascii="宋体" w:hAnsi="宋体" w:hint="eastAsia"/>
          <w:sz w:val="28"/>
          <w:szCs w:val="28"/>
        </w:rPr>
        <w:t>14</w:t>
      </w:r>
      <w:r w:rsidRPr="00EE24B1">
        <w:rPr>
          <w:rFonts w:ascii="宋体" w:hAnsi="宋体" w:hint="eastAsia"/>
          <w:sz w:val="28"/>
          <w:szCs w:val="28"/>
        </w:rPr>
        <w:t>%。勘测设计</w:t>
      </w:r>
      <w:r w:rsidR="00EE20B7" w:rsidRPr="00EE24B1">
        <w:rPr>
          <w:rFonts w:ascii="宋体" w:hAnsi="宋体" w:hint="eastAsia"/>
          <w:sz w:val="28"/>
          <w:szCs w:val="28"/>
        </w:rPr>
        <w:t>及</w:t>
      </w:r>
      <w:r w:rsidRPr="00EE24B1">
        <w:rPr>
          <w:rFonts w:ascii="宋体" w:hAnsi="宋体" w:hint="eastAsia"/>
          <w:sz w:val="28"/>
          <w:szCs w:val="28"/>
        </w:rPr>
        <w:t>咨询</w:t>
      </w:r>
      <w:r w:rsidR="0019323D" w:rsidRPr="00EE24B1">
        <w:rPr>
          <w:rFonts w:ascii="宋体" w:hAnsi="宋体" w:hint="eastAsia"/>
          <w:sz w:val="28"/>
          <w:szCs w:val="28"/>
        </w:rPr>
        <w:t>服务</w:t>
      </w:r>
      <w:r w:rsidRPr="00EE24B1">
        <w:rPr>
          <w:rFonts w:ascii="宋体" w:hAnsi="宋体" w:hint="eastAsia"/>
          <w:sz w:val="28"/>
          <w:szCs w:val="28"/>
        </w:rPr>
        <w:t>业务占</w:t>
      </w:r>
      <w:r w:rsidR="00284D97" w:rsidRPr="00EE24B1">
        <w:rPr>
          <w:rFonts w:ascii="宋体" w:hAnsi="宋体" w:hint="eastAsia"/>
          <w:sz w:val="28"/>
          <w:szCs w:val="28"/>
        </w:rPr>
        <w:t>89.2</w:t>
      </w:r>
      <w:r w:rsidRPr="00EE24B1">
        <w:rPr>
          <w:rFonts w:ascii="宋体" w:hAnsi="宋体" w:hint="eastAsia"/>
          <w:sz w:val="28"/>
          <w:szCs w:val="28"/>
        </w:rPr>
        <w:t>%，总承包管理占</w:t>
      </w:r>
      <w:r w:rsidR="00AA7827" w:rsidRPr="00EE24B1">
        <w:rPr>
          <w:rFonts w:ascii="宋体" w:hAnsi="宋体" w:hint="eastAsia"/>
          <w:sz w:val="28"/>
          <w:szCs w:val="28"/>
        </w:rPr>
        <w:t>8</w:t>
      </w:r>
      <w:r w:rsidRPr="00EE24B1">
        <w:rPr>
          <w:rFonts w:ascii="宋体" w:hAnsi="宋体" w:hint="eastAsia"/>
          <w:sz w:val="28"/>
          <w:szCs w:val="28"/>
        </w:rPr>
        <w:t>%（总承包</w:t>
      </w:r>
      <w:r w:rsidR="00B43F20" w:rsidRPr="00EE24B1">
        <w:rPr>
          <w:rFonts w:ascii="宋体" w:hAnsi="宋体" w:hint="eastAsia"/>
          <w:sz w:val="28"/>
          <w:szCs w:val="28"/>
        </w:rPr>
        <w:t>产值按总承包合同中所计列的</w:t>
      </w:r>
      <w:r w:rsidRPr="00EE24B1">
        <w:rPr>
          <w:rFonts w:ascii="宋体" w:hAnsi="宋体" w:hint="eastAsia"/>
          <w:sz w:val="28"/>
          <w:szCs w:val="28"/>
        </w:rPr>
        <w:t>项目管理费</w:t>
      </w:r>
      <w:r w:rsidR="00B43F20" w:rsidRPr="00EE24B1">
        <w:rPr>
          <w:rFonts w:ascii="宋体" w:hAnsi="宋体" w:hint="eastAsia"/>
          <w:sz w:val="28"/>
          <w:szCs w:val="28"/>
        </w:rPr>
        <w:t>统计</w:t>
      </w:r>
      <w:r w:rsidRPr="00EE24B1">
        <w:rPr>
          <w:rFonts w:ascii="宋体" w:hAnsi="宋体" w:hint="eastAsia"/>
          <w:sz w:val="28"/>
          <w:szCs w:val="28"/>
        </w:rPr>
        <w:t>）。</w:t>
      </w:r>
    </w:p>
    <w:p w:rsidR="0016475F" w:rsidRPr="002C5D67" w:rsidRDefault="008E13AB" w:rsidP="008E13AB">
      <w:pPr>
        <w:spacing w:line="360" w:lineRule="auto"/>
        <w:ind w:firstLineChars="200" w:firstLine="562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sz w:val="28"/>
          <w:szCs w:val="28"/>
        </w:rPr>
        <w:t>201</w:t>
      </w:r>
      <w:r w:rsidR="00284D97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年完成产值情况分析</w:t>
      </w:r>
      <w:r w:rsidR="00076FFB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4914" w:type="pct"/>
        <w:jc w:val="center"/>
        <w:tblInd w:w="250" w:type="dxa"/>
        <w:tblLook w:val="04A0"/>
      </w:tblPr>
      <w:tblGrid>
        <w:gridCol w:w="441"/>
        <w:gridCol w:w="1792"/>
        <w:gridCol w:w="1042"/>
        <w:gridCol w:w="684"/>
        <w:gridCol w:w="684"/>
        <w:gridCol w:w="906"/>
        <w:gridCol w:w="684"/>
        <w:gridCol w:w="764"/>
        <w:gridCol w:w="781"/>
        <w:gridCol w:w="1019"/>
        <w:gridCol w:w="684"/>
        <w:gridCol w:w="784"/>
        <w:gridCol w:w="801"/>
        <w:gridCol w:w="906"/>
        <w:gridCol w:w="684"/>
        <w:gridCol w:w="764"/>
        <w:gridCol w:w="778"/>
      </w:tblGrid>
      <w:tr w:rsidR="00DC33B7" w:rsidRPr="002C5D67" w:rsidTr="00EE24B1">
        <w:trPr>
          <w:trHeight w:val="402"/>
          <w:jc w:val="center"/>
        </w:trPr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8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完成总产值</w:t>
            </w:r>
          </w:p>
        </w:tc>
        <w:tc>
          <w:tcPr>
            <w:tcW w:w="11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勘测产值</w:t>
            </w:r>
          </w:p>
        </w:tc>
        <w:tc>
          <w:tcPr>
            <w:tcW w:w="11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设计产值</w:t>
            </w:r>
          </w:p>
        </w:tc>
        <w:tc>
          <w:tcPr>
            <w:tcW w:w="11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咨询产值</w:t>
            </w:r>
          </w:p>
        </w:tc>
      </w:tr>
      <w:tr w:rsidR="00DC33B7" w:rsidRPr="002C5D67" w:rsidTr="00EE24B1">
        <w:trPr>
          <w:trHeight w:val="600"/>
          <w:jc w:val="center"/>
        </w:trPr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B7" w:rsidRPr="002C5D67" w:rsidRDefault="00DC33B7" w:rsidP="00DC33B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3B7" w:rsidRPr="002C5D67" w:rsidRDefault="00DC33B7" w:rsidP="00DC33B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2452945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98%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314039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13%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1612232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66%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262531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11%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93%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顾问集团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722050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104535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33%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95%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430499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27%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60%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75599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78%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省属设计院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1385693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56%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103%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185180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59%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13%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886843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55%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64%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163341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62%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12%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</w:tr>
      <w:tr w:rsidR="00284D97" w:rsidRPr="002C5D67" w:rsidTr="00EE24B1">
        <w:trPr>
          <w:trHeight w:val="360"/>
          <w:jc w:val="center"/>
        </w:trPr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供电及其它设计院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345202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95%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24324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7%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76%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294890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18%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85%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23591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7%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94%</w:t>
            </w:r>
          </w:p>
        </w:tc>
      </w:tr>
    </w:tbl>
    <w:p w:rsidR="00E7071D" w:rsidRPr="002C5D67" w:rsidRDefault="00E7071D" w:rsidP="007F35E9">
      <w:pPr>
        <w:spacing w:line="360" w:lineRule="auto"/>
        <w:rPr>
          <w:rFonts w:ascii="宋体" w:hAnsi="宋体"/>
          <w:b/>
          <w:noProof/>
          <w:sz w:val="10"/>
          <w:szCs w:val="10"/>
        </w:rPr>
      </w:pPr>
    </w:p>
    <w:tbl>
      <w:tblPr>
        <w:tblW w:w="4913" w:type="pct"/>
        <w:jc w:val="center"/>
        <w:tblInd w:w="250" w:type="dxa"/>
        <w:tblLook w:val="04A0"/>
      </w:tblPr>
      <w:tblGrid>
        <w:gridCol w:w="644"/>
        <w:gridCol w:w="2487"/>
        <w:gridCol w:w="957"/>
        <w:gridCol w:w="823"/>
        <w:gridCol w:w="940"/>
        <w:gridCol w:w="945"/>
        <w:gridCol w:w="1093"/>
        <w:gridCol w:w="823"/>
        <w:gridCol w:w="920"/>
        <w:gridCol w:w="940"/>
        <w:gridCol w:w="957"/>
        <w:gridCol w:w="823"/>
        <w:gridCol w:w="889"/>
        <w:gridCol w:w="954"/>
      </w:tblGrid>
      <w:tr w:rsidR="00DC33B7" w:rsidRPr="002C5D67" w:rsidTr="00EE24B1">
        <w:trPr>
          <w:trHeight w:val="402"/>
          <w:jc w:val="center"/>
        </w:trPr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监理产值</w:t>
            </w:r>
          </w:p>
        </w:tc>
        <w:tc>
          <w:tcPr>
            <w:tcW w:w="132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项目管理产值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其它产值</w:t>
            </w:r>
          </w:p>
        </w:tc>
      </w:tr>
      <w:tr w:rsidR="008E13AB" w:rsidRPr="002C5D67" w:rsidTr="00EE24B1">
        <w:trPr>
          <w:trHeight w:val="600"/>
          <w:jc w:val="center"/>
        </w:trPr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3B7" w:rsidRPr="002C5D67" w:rsidRDefault="00DC33B7" w:rsidP="00DC33B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33B7" w:rsidRPr="002C5D67" w:rsidRDefault="00DC33B7" w:rsidP="00DC33B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3B7" w:rsidRPr="002C5D67" w:rsidRDefault="00DC33B7" w:rsidP="00DC33B7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总计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51512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202211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106%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10421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106%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顾问集团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1997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4%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90224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45%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12%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1223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12%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148%</w:t>
            </w:r>
          </w:p>
        </w:tc>
      </w:tr>
      <w:tr w:rsidR="00284D97" w:rsidRPr="002C5D67" w:rsidTr="00EE24B1">
        <w:trPr>
          <w:trHeight w:val="402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省属设计院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29144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57%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112%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111987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55%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110%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9198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88%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103%</w:t>
            </w:r>
          </w:p>
        </w:tc>
      </w:tr>
      <w:tr w:rsidR="00284D97" w:rsidRPr="002C5D67" w:rsidTr="00EE24B1">
        <w:trPr>
          <w:trHeight w:val="360"/>
          <w:jc w:val="center"/>
        </w:trPr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C5D67" w:rsidRDefault="00284D97" w:rsidP="00DC33B7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C5D67">
              <w:rPr>
                <w:rFonts w:ascii="宋体" w:hAnsi="宋体" w:cs="宋体" w:hint="eastAsia"/>
                <w:kern w:val="0"/>
                <w:sz w:val="20"/>
                <w:szCs w:val="20"/>
              </w:rPr>
              <w:t>供电及其它设计院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2397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5%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0.7%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>115%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D97" w:rsidRPr="00284D97" w:rsidRDefault="00284D97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84D97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</w:tr>
    </w:tbl>
    <w:p w:rsidR="00DC33B7" w:rsidRDefault="00DC33B7" w:rsidP="007F35E9">
      <w:pPr>
        <w:spacing w:line="360" w:lineRule="auto"/>
        <w:rPr>
          <w:rFonts w:ascii="宋体" w:hAnsi="宋体"/>
          <w:b/>
          <w:noProof/>
          <w:sz w:val="30"/>
          <w:szCs w:val="30"/>
        </w:rPr>
      </w:pPr>
    </w:p>
    <w:p w:rsidR="00A25CCB" w:rsidRPr="002C5D67" w:rsidRDefault="00A25CCB" w:rsidP="00A25CCB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各类业务完成产值按单位隶属级别构成饼图</w:t>
      </w:r>
    </w:p>
    <w:p w:rsidR="005D7651" w:rsidRPr="002C5D67" w:rsidRDefault="005D7651" w:rsidP="00AA7827">
      <w:pPr>
        <w:spacing w:line="360" w:lineRule="auto"/>
        <w:rPr>
          <w:rFonts w:ascii="宋体" w:hAnsi="宋体"/>
          <w:b/>
          <w:sz w:val="10"/>
          <w:szCs w:val="10"/>
        </w:rPr>
      </w:pPr>
    </w:p>
    <w:p w:rsidR="00AA7827" w:rsidRPr="002C5D67" w:rsidRDefault="005B51E1" w:rsidP="00EE24B1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  <w:r w:rsidRPr="005B51E1"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905125" cy="2247900"/>
            <wp:effectExtent l="19050" t="0" r="9525" b="0"/>
            <wp:docPr id="83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 w:rsidRPr="005B51E1">
        <w:rPr>
          <w:noProof/>
        </w:rPr>
        <w:drawing>
          <wp:inline distT="0" distB="0" distL="0" distR="0">
            <wp:extent cx="2914650" cy="2247900"/>
            <wp:effectExtent l="19050" t="0" r="19050" b="0"/>
            <wp:docPr id="86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Pr="005B51E1">
        <w:rPr>
          <w:noProof/>
        </w:rPr>
        <w:drawing>
          <wp:inline distT="0" distB="0" distL="0" distR="0">
            <wp:extent cx="2886075" cy="2247900"/>
            <wp:effectExtent l="19050" t="0" r="9525" b="0"/>
            <wp:docPr id="88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5B51E1" w:rsidRDefault="005B51E1" w:rsidP="00AA7827">
      <w:pPr>
        <w:spacing w:line="360" w:lineRule="auto"/>
        <w:rPr>
          <w:noProof/>
        </w:rPr>
      </w:pPr>
    </w:p>
    <w:p w:rsidR="00AA7827" w:rsidRPr="002C5D67" w:rsidRDefault="005B51E1" w:rsidP="00EE24B1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5B51E1">
        <w:rPr>
          <w:noProof/>
        </w:rPr>
        <w:drawing>
          <wp:inline distT="0" distB="0" distL="0" distR="0">
            <wp:extent cx="2905125" cy="1990725"/>
            <wp:effectExtent l="19050" t="0" r="9525" b="0"/>
            <wp:docPr id="89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 w:rsidRPr="005B51E1">
        <w:rPr>
          <w:noProof/>
        </w:rPr>
        <w:drawing>
          <wp:inline distT="0" distB="0" distL="0" distR="0">
            <wp:extent cx="2914650" cy="1990725"/>
            <wp:effectExtent l="19050" t="0" r="19050" b="0"/>
            <wp:docPr id="90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 w:rsidRPr="005B51E1"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867025" cy="1990725"/>
            <wp:effectExtent l="19050" t="0" r="9525" b="0"/>
            <wp:docPr id="91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F76B43" w:rsidRPr="002E360D" w:rsidRDefault="00F76B43" w:rsidP="00F76B43">
      <w:pPr>
        <w:pStyle w:val="3"/>
        <w:numPr>
          <w:ilvl w:val="0"/>
          <w:numId w:val="2"/>
        </w:numPr>
        <w:tabs>
          <w:tab w:val="clear" w:pos="425"/>
          <w:tab w:val="num" w:pos="567"/>
        </w:tabs>
        <w:ind w:left="567"/>
        <w:rPr>
          <w:rFonts w:ascii="宋体" w:hAnsi="宋体"/>
          <w:sz w:val="28"/>
          <w:szCs w:val="28"/>
        </w:rPr>
      </w:pPr>
      <w:bookmarkStart w:id="53" w:name="_Toc450668463"/>
      <w:r w:rsidRPr="002E360D">
        <w:rPr>
          <w:rFonts w:ascii="宋体" w:hAnsi="宋体" w:hint="eastAsia"/>
          <w:sz w:val="28"/>
          <w:szCs w:val="28"/>
        </w:rPr>
        <w:lastRenderedPageBreak/>
        <w:t>财务主要指标分析</w:t>
      </w:r>
      <w:bookmarkEnd w:id="53"/>
    </w:p>
    <w:p w:rsidR="00F76B43" w:rsidRPr="00B93644" w:rsidRDefault="00F76B43" w:rsidP="00F76B43">
      <w:pPr>
        <w:spacing w:line="5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93644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年，实现营业收入总额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719.0</w:t>
      </w:r>
      <w:r w:rsidR="00F666B5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%。其中境内收入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689.41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，同比增长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15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%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，占营业收入总额的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95.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%，境外收入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29.62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同比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减少3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%，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占营业收入总额的</w:t>
      </w:r>
      <w:r w:rsidR="00095167" w:rsidRPr="00B93644">
        <w:rPr>
          <w:rFonts w:asciiTheme="minorEastAsia" w:eastAsiaTheme="minorEastAsia" w:hAnsiTheme="minorEastAsia" w:hint="eastAsia"/>
          <w:sz w:val="28"/>
          <w:szCs w:val="28"/>
        </w:rPr>
        <w:t>4.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</w:t>
      </w:r>
      <w:r w:rsidR="00635BFD" w:rsidRPr="00B93644">
        <w:rPr>
          <w:rFonts w:asciiTheme="minorEastAsia" w:eastAsiaTheme="minorEastAsia" w:hAnsiTheme="minorEastAsia" w:hint="eastAsia"/>
          <w:sz w:val="28"/>
          <w:szCs w:val="28"/>
        </w:rPr>
        <w:t>其中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：顾问集团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225.05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同比增长9%，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845D4D" w:rsidRPr="00B93644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%；省级设计院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445.23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19%，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62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%；供电及其他设计院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48.75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持平，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7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F76B43" w:rsidRPr="00B93644" w:rsidRDefault="00F76B43" w:rsidP="00F76B43">
      <w:pPr>
        <w:spacing w:line="5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93644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年，实现利润总额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62.47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322138" w:rsidRPr="00B93644">
        <w:rPr>
          <w:rFonts w:asciiTheme="minorEastAsia" w:eastAsiaTheme="minorEastAsia" w:hAnsiTheme="minorEastAsia" w:hint="eastAsia"/>
          <w:sz w:val="28"/>
          <w:szCs w:val="28"/>
        </w:rPr>
        <w:t>增长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16</w:t>
      </w:r>
      <w:r w:rsidR="00322138" w:rsidRPr="00B93644">
        <w:rPr>
          <w:rFonts w:asciiTheme="minorEastAsia" w:eastAsiaTheme="minorEastAsia" w:hAnsiTheme="minorEastAsia" w:hint="eastAsia"/>
          <w:sz w:val="28"/>
          <w:szCs w:val="28"/>
        </w:rPr>
        <w:t>%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。其中：顾问集团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17.1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27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%；省级设计院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35.12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元，占5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%；供电及其他设计院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10.26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CC4BAB" w:rsidRPr="00B93644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F76B43" w:rsidRPr="00B93644" w:rsidRDefault="00F76B43" w:rsidP="00F76B43">
      <w:pPr>
        <w:spacing w:line="5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93644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年，实现经济增加值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38.65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322138" w:rsidRPr="00B93644">
        <w:rPr>
          <w:rFonts w:asciiTheme="minorEastAsia" w:eastAsiaTheme="minorEastAsia" w:hAnsiTheme="minorEastAsia" w:hint="eastAsia"/>
          <w:sz w:val="28"/>
          <w:szCs w:val="28"/>
        </w:rPr>
        <w:t>同比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322138" w:rsidRPr="00B93644">
        <w:rPr>
          <w:rFonts w:asciiTheme="minorEastAsia" w:eastAsiaTheme="minorEastAsia" w:hAnsiTheme="minorEastAsia" w:hint="eastAsia"/>
          <w:sz w:val="28"/>
          <w:szCs w:val="28"/>
        </w:rPr>
        <w:t>%，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其中：顾问集团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11.46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30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%；省属设计院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27.19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635BFD" w:rsidRPr="00B93644">
        <w:rPr>
          <w:rFonts w:asciiTheme="minorEastAsia" w:eastAsiaTheme="minorEastAsia" w:hAnsiTheme="minorEastAsia" w:hint="eastAsia"/>
          <w:sz w:val="28"/>
          <w:szCs w:val="28"/>
        </w:rPr>
        <w:t>7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0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F76B43" w:rsidRPr="00B93644" w:rsidRDefault="00F76B43" w:rsidP="00F76B43">
      <w:pPr>
        <w:spacing w:line="5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93644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年，拥有资产总额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842.29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804FA3" w:rsidRPr="00B93644">
        <w:rPr>
          <w:rFonts w:asciiTheme="minorEastAsia" w:eastAsiaTheme="minorEastAsia" w:hAnsiTheme="minorEastAsia" w:hint="eastAsia"/>
          <w:sz w:val="28"/>
          <w:szCs w:val="28"/>
        </w:rPr>
        <w:t>18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%。其中：顾问集团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264.83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322138" w:rsidRPr="00B93644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%；省属设计院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525.0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62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%；供电及其他设计院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52.47</w:t>
      </w:r>
      <w:r w:rsidR="0070219E" w:rsidRPr="00B93644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778CF" w:rsidRPr="00B93644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F76B43" w:rsidRPr="002C5D67" w:rsidRDefault="00F76B43" w:rsidP="00F76B43">
      <w:pPr>
        <w:spacing w:line="500" w:lineRule="exact"/>
        <w:ind w:firstLineChars="200" w:firstLine="562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201</w:t>
      </w:r>
      <w:r w:rsidR="00F666B5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年主要财务指标分析</w:t>
      </w:r>
      <w:r w:rsidR="001E7F9D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0" w:type="auto"/>
        <w:tblInd w:w="250" w:type="dxa"/>
        <w:tblLook w:val="04A0"/>
      </w:tblPr>
      <w:tblGrid>
        <w:gridCol w:w="396"/>
        <w:gridCol w:w="1162"/>
        <w:gridCol w:w="916"/>
        <w:gridCol w:w="616"/>
        <w:gridCol w:w="616"/>
        <w:gridCol w:w="916"/>
        <w:gridCol w:w="616"/>
        <w:gridCol w:w="616"/>
        <w:gridCol w:w="816"/>
        <w:gridCol w:w="616"/>
        <w:gridCol w:w="616"/>
        <w:gridCol w:w="816"/>
        <w:gridCol w:w="616"/>
        <w:gridCol w:w="616"/>
        <w:gridCol w:w="816"/>
        <w:gridCol w:w="616"/>
        <w:gridCol w:w="616"/>
        <w:gridCol w:w="916"/>
        <w:gridCol w:w="666"/>
        <w:gridCol w:w="616"/>
      </w:tblGrid>
      <w:tr w:rsidR="00095167" w:rsidRPr="00AA5C94" w:rsidTr="00EE24B1">
        <w:trPr>
          <w:trHeight w:val="402"/>
        </w:trPr>
        <w:tc>
          <w:tcPr>
            <w:tcW w:w="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营业收入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境内营业收入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境外营业收入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利润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经济增加值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资产总额</w:t>
            </w:r>
          </w:p>
        </w:tc>
      </w:tr>
      <w:tr w:rsidR="00095167" w:rsidRPr="00AA5C94" w:rsidTr="00EE24B1">
        <w:trPr>
          <w:trHeight w:val="690"/>
        </w:trPr>
        <w:tc>
          <w:tcPr>
            <w:tcW w:w="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167" w:rsidRPr="00AA5C94" w:rsidRDefault="00095167" w:rsidP="00095167"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5167" w:rsidRPr="00AA5C94" w:rsidRDefault="00095167" w:rsidP="00095167">
            <w:pPr>
              <w:keepNext/>
              <w:keepLines/>
              <w:widowControl/>
              <w:spacing w:before="340" w:after="330" w:line="578" w:lineRule="auto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5167" w:rsidRPr="00AA5C94" w:rsidRDefault="000B773C" w:rsidP="0009516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同比</w:t>
            </w:r>
          </w:p>
        </w:tc>
      </w:tr>
      <w:tr w:rsidR="008778CF" w:rsidRPr="00AA5C94" w:rsidTr="00EE24B1">
        <w:trPr>
          <w:trHeight w:val="40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7190261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6894077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296184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624740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386511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8422948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118%</w:t>
            </w:r>
          </w:p>
        </w:tc>
      </w:tr>
      <w:tr w:rsidR="008778CF" w:rsidRPr="00AA5C94" w:rsidTr="00EE24B1">
        <w:trPr>
          <w:trHeight w:val="40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2250501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2149666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170967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114581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2648270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31.4%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117%</w:t>
            </w:r>
          </w:p>
        </w:tc>
      </w:tr>
      <w:tr w:rsidR="008778CF" w:rsidRPr="00AA5C94" w:rsidTr="00EE24B1">
        <w:trPr>
          <w:trHeight w:val="40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省级设计院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4452301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4256952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195349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351153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56%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271930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5250004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62.3%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120%</w:t>
            </w:r>
          </w:p>
        </w:tc>
      </w:tr>
      <w:tr w:rsidR="008778CF" w:rsidRPr="00AA5C94" w:rsidTr="00EE24B1">
        <w:trPr>
          <w:trHeight w:val="402"/>
        </w:trPr>
        <w:tc>
          <w:tcPr>
            <w:tcW w:w="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AA5C94" w:rsidRDefault="008778CF" w:rsidP="00095167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B773C"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487459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487459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102620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524674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778CF">
              <w:rPr>
                <w:rFonts w:asciiTheme="minorEastAsia" w:eastAsiaTheme="minorEastAsia" w:hAnsiTheme="minorEastAsia" w:hint="eastAsia"/>
                <w:sz w:val="18"/>
                <w:szCs w:val="18"/>
              </w:rPr>
              <w:t>6.2%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8CF" w:rsidRPr="008778CF" w:rsidRDefault="008778CF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778CF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</w:tr>
    </w:tbl>
    <w:p w:rsidR="00635BFD" w:rsidRPr="002C5D67" w:rsidRDefault="00635BFD" w:rsidP="00635BFD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</w:p>
    <w:p w:rsidR="00635BFD" w:rsidRPr="002C5D67" w:rsidRDefault="00635BFD" w:rsidP="00635BFD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主要财务指标按隶属分类构成饼图</w:t>
      </w:r>
    </w:p>
    <w:p w:rsidR="00A25CCB" w:rsidRPr="00AE5DEC" w:rsidRDefault="00A25CCB" w:rsidP="00A25CCB">
      <w:pPr>
        <w:spacing w:line="360" w:lineRule="auto"/>
        <w:rPr>
          <w:rFonts w:ascii="宋体" w:hAnsi="宋体"/>
          <w:b/>
          <w:sz w:val="18"/>
          <w:szCs w:val="18"/>
        </w:rPr>
      </w:pPr>
    </w:p>
    <w:p w:rsidR="00AE5DEC" w:rsidRPr="00AE5DEC" w:rsidRDefault="00AE5DEC" w:rsidP="00EE24B1">
      <w:pPr>
        <w:spacing w:line="360" w:lineRule="auto"/>
        <w:jc w:val="center"/>
        <w:rPr>
          <w:rFonts w:ascii="宋体" w:hAnsi="宋体"/>
          <w:b/>
          <w:sz w:val="18"/>
          <w:szCs w:val="18"/>
        </w:rPr>
      </w:pPr>
      <w:r>
        <w:rPr>
          <w:rFonts w:ascii="宋体" w:hAnsi="宋体"/>
          <w:b/>
          <w:noProof/>
          <w:sz w:val="18"/>
          <w:szCs w:val="18"/>
        </w:rPr>
        <w:drawing>
          <wp:inline distT="0" distB="0" distL="0" distR="0">
            <wp:extent cx="8848725" cy="4057650"/>
            <wp:effectExtent l="19050" t="0" r="9525" b="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260EAC" w:rsidRPr="002E360D" w:rsidRDefault="00260EAC" w:rsidP="00260EAC">
      <w:pPr>
        <w:pStyle w:val="3"/>
        <w:numPr>
          <w:ilvl w:val="0"/>
          <w:numId w:val="2"/>
        </w:numPr>
        <w:tabs>
          <w:tab w:val="clear" w:pos="425"/>
          <w:tab w:val="num" w:pos="567"/>
        </w:tabs>
        <w:ind w:left="567"/>
        <w:rPr>
          <w:rFonts w:ascii="宋体" w:hAnsi="宋体"/>
          <w:sz w:val="28"/>
          <w:szCs w:val="28"/>
        </w:rPr>
      </w:pPr>
      <w:bookmarkStart w:id="54" w:name="_Toc450668464"/>
      <w:r w:rsidRPr="002E360D">
        <w:rPr>
          <w:rFonts w:ascii="宋体" w:hAnsi="宋体" w:hint="eastAsia"/>
          <w:sz w:val="28"/>
          <w:szCs w:val="28"/>
        </w:rPr>
        <w:lastRenderedPageBreak/>
        <w:t>工程总承包业务分析</w:t>
      </w:r>
      <w:bookmarkEnd w:id="54"/>
    </w:p>
    <w:p w:rsidR="00260EAC" w:rsidRPr="002C5D67" w:rsidRDefault="00260EAC" w:rsidP="00260EAC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总承包业务主要指标分析</w:t>
      </w:r>
      <w:r w:rsidR="00CA619A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14196" w:type="dxa"/>
        <w:jc w:val="center"/>
        <w:tblInd w:w="392" w:type="dxa"/>
        <w:tblLook w:val="04A0"/>
      </w:tblPr>
      <w:tblGrid>
        <w:gridCol w:w="425"/>
        <w:gridCol w:w="1084"/>
        <w:gridCol w:w="847"/>
        <w:gridCol w:w="576"/>
        <w:gridCol w:w="576"/>
        <w:gridCol w:w="950"/>
        <w:gridCol w:w="576"/>
        <w:gridCol w:w="659"/>
        <w:gridCol w:w="576"/>
        <w:gridCol w:w="867"/>
        <w:gridCol w:w="576"/>
        <w:gridCol w:w="543"/>
        <w:gridCol w:w="576"/>
        <w:gridCol w:w="853"/>
        <w:gridCol w:w="576"/>
        <w:gridCol w:w="638"/>
        <w:gridCol w:w="576"/>
        <w:gridCol w:w="932"/>
        <w:gridCol w:w="576"/>
        <w:gridCol w:w="638"/>
        <w:gridCol w:w="576"/>
      </w:tblGrid>
      <w:tr w:rsidR="000C42F6" w:rsidRPr="00BA0F4A" w:rsidTr="001B7DD0">
        <w:trPr>
          <w:trHeight w:val="402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新签合同额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执行的总包合同额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完成总包合同额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完成项目管理产值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总承包收入</w:t>
            </w:r>
          </w:p>
        </w:tc>
      </w:tr>
      <w:tr w:rsidR="00B93644" w:rsidRPr="00BA0F4A" w:rsidTr="001B7DD0">
        <w:trPr>
          <w:trHeight w:val="1020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EAC" w:rsidRPr="00BA0F4A" w:rsidRDefault="00260EAC" w:rsidP="00260EA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EAC" w:rsidRPr="00BA0F4A" w:rsidRDefault="00260EAC" w:rsidP="00260EAC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总包合同额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执行合同额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与新签合同额对比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完成合同额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占执行合同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项目管理产值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占完成合同额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总承包收入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占完成合同额</w:t>
            </w:r>
            <w:r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EAC" w:rsidRPr="00BA0F4A" w:rsidRDefault="0059687F" w:rsidP="00260EAC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5F3FCC" w:rsidRPr="00BA0F4A" w:rsidTr="001B7DD0">
        <w:trPr>
          <w:trHeight w:val="402"/>
          <w:jc w:val="center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9858824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18962688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192%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4591798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93644">
              <w:rPr>
                <w:rFonts w:asciiTheme="minorEastAsia" w:eastAsiaTheme="minorEastAsia" w:hAnsiTheme="minorEastAsia" w:hint="eastAsia"/>
                <w:sz w:val="20"/>
                <w:szCs w:val="20"/>
              </w:rPr>
              <w:t>200607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4.4%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4956441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121%</w:t>
            </w:r>
          </w:p>
        </w:tc>
      </w:tr>
      <w:tr w:rsidR="005F3FCC" w:rsidRPr="00BA0F4A" w:rsidTr="001B7DD0">
        <w:trPr>
          <w:trHeight w:val="525"/>
          <w:jc w:val="center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顾问集团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3647240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7770336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213%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1415781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93644">
              <w:rPr>
                <w:rFonts w:asciiTheme="minorEastAsia" w:eastAsiaTheme="minorEastAsia" w:hAnsiTheme="minorEastAsia" w:hint="eastAsia"/>
                <w:sz w:val="20"/>
                <w:szCs w:val="20"/>
              </w:rPr>
              <w:t>89881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6.3%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1564028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</w:tr>
      <w:tr w:rsidR="005F3FCC" w:rsidRPr="00BA0F4A" w:rsidTr="001B7DD0">
        <w:trPr>
          <w:trHeight w:val="402"/>
          <w:jc w:val="center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省级</w:t>
            </w:r>
            <w:r w:rsidRPr="001B7DD0">
              <w:rPr>
                <w:rFonts w:ascii="宋体" w:hAnsi="宋体" w:cs="宋体" w:hint="eastAsia"/>
                <w:spacing w:val="-20"/>
                <w:kern w:val="0"/>
                <w:sz w:val="18"/>
                <w:szCs w:val="18"/>
              </w:rPr>
              <w:t>设计院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6098393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11192352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184%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173%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3176017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28%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93644">
              <w:rPr>
                <w:rFonts w:asciiTheme="minorEastAsia" w:eastAsiaTheme="minorEastAsia" w:hAnsiTheme="minorEastAsia" w:hint="eastAsia"/>
                <w:sz w:val="20"/>
                <w:szCs w:val="20"/>
              </w:rPr>
              <w:t>110726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3.5%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3304756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130%</w:t>
            </w:r>
          </w:p>
        </w:tc>
      </w:tr>
      <w:tr w:rsidR="005F3FCC" w:rsidRPr="00BA0F4A" w:rsidTr="001B7DD0">
        <w:trPr>
          <w:trHeight w:val="435"/>
          <w:jc w:val="center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A0F4A" w:rsidRDefault="005F3FCC" w:rsidP="00260EAC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供电及其它设计院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113191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102%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B93644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B93644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93644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87657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86%</w:t>
            </w:r>
          </w:p>
        </w:tc>
      </w:tr>
    </w:tbl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B93644" w:rsidRPr="00B93644" w:rsidRDefault="00B93644" w:rsidP="00B93644">
      <w:pPr>
        <w:spacing w:line="480" w:lineRule="auto"/>
        <w:ind w:leftChars="-202" w:left="-424" w:rightChars="-379" w:right="-796"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93644">
        <w:rPr>
          <w:rFonts w:asciiTheme="minorEastAsia" w:eastAsiaTheme="minorEastAsia" w:hAnsiTheme="minorEastAsia"/>
          <w:sz w:val="28"/>
          <w:szCs w:val="28"/>
        </w:rPr>
        <w:t>201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5年，总承包业务新签合同总额985.88亿元，同比增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13</w:t>
      </w:r>
      <w:r w:rsidRPr="00B93644">
        <w:rPr>
          <w:rFonts w:asciiTheme="minorEastAsia" w:eastAsiaTheme="minorEastAsia" w:hAnsiTheme="minorEastAsia"/>
          <w:sz w:val="28"/>
          <w:szCs w:val="28"/>
        </w:rPr>
        <w:t>%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；正在执行的总承包项目合同总额为1896.27亿元，同比增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49</w:t>
      </w:r>
      <w:r w:rsidRPr="00B93644">
        <w:rPr>
          <w:rFonts w:asciiTheme="minorEastAsia" w:eastAsiaTheme="minorEastAsia" w:hAnsiTheme="minorEastAsia"/>
          <w:sz w:val="28"/>
          <w:szCs w:val="28"/>
        </w:rPr>
        <w:t>%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；完成总承包合同总额为459.18亿元，同比增长34</w:t>
      </w:r>
      <w:r w:rsidRPr="00B93644">
        <w:rPr>
          <w:rFonts w:asciiTheme="minorEastAsia" w:eastAsiaTheme="minorEastAsia" w:hAnsiTheme="minorEastAsia"/>
          <w:sz w:val="28"/>
          <w:szCs w:val="28"/>
        </w:rPr>
        <w:t>%，占正在执行的总承包合同总额的2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B93644">
        <w:rPr>
          <w:rFonts w:asciiTheme="minorEastAsia" w:eastAsiaTheme="minorEastAsia" w:hAnsiTheme="minorEastAsia"/>
          <w:sz w:val="28"/>
          <w:szCs w:val="28"/>
        </w:rPr>
        <w:t>%，完成总包合同额小于新签合同额，说明总包业务得到了有效补充；完成总承包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项目管理总产值20.07亿元，占完成总包合同额的比率为4.4</w:t>
      </w:r>
      <w:r w:rsidRPr="00B93644">
        <w:rPr>
          <w:rFonts w:asciiTheme="minorEastAsia" w:eastAsiaTheme="minorEastAsia" w:hAnsiTheme="minorEastAsia"/>
          <w:sz w:val="28"/>
          <w:szCs w:val="28"/>
        </w:rPr>
        <w:t>%，说明总承包项目管理费较低；实现总承包收入</w:t>
      </w:r>
      <w:r w:rsidR="005F3FCC">
        <w:rPr>
          <w:rFonts w:asciiTheme="minorEastAsia" w:eastAsiaTheme="minorEastAsia" w:hAnsiTheme="minorEastAsia" w:hint="eastAsia"/>
          <w:sz w:val="28"/>
          <w:szCs w:val="28"/>
        </w:rPr>
        <w:t>495.64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亿元，同比增</w:t>
      </w:r>
      <w:r w:rsidR="002652DC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5F3FCC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93644">
        <w:rPr>
          <w:rFonts w:asciiTheme="minorEastAsia" w:eastAsiaTheme="minorEastAsia" w:hAnsiTheme="minorEastAsia"/>
          <w:sz w:val="28"/>
          <w:szCs w:val="28"/>
        </w:rPr>
        <w:t>%，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比当年完成总承包合同总额多</w:t>
      </w:r>
      <w:r w:rsidR="005F3FCC">
        <w:rPr>
          <w:rFonts w:asciiTheme="minorEastAsia" w:eastAsiaTheme="minorEastAsia" w:hAnsiTheme="minorEastAsia" w:hint="eastAsia"/>
          <w:sz w:val="28"/>
          <w:szCs w:val="28"/>
        </w:rPr>
        <w:t>8</w:t>
      </w:r>
      <w:r w:rsidRPr="00B93644">
        <w:rPr>
          <w:rFonts w:asciiTheme="minorEastAsia" w:eastAsiaTheme="minorEastAsia" w:hAnsiTheme="minorEastAsia"/>
          <w:sz w:val="28"/>
          <w:szCs w:val="28"/>
        </w:rPr>
        <w:t>%，说明以前年度完成的总承包合同额在本期确认了</w:t>
      </w:r>
      <w:r w:rsidRPr="00B93644">
        <w:rPr>
          <w:rFonts w:asciiTheme="minorEastAsia" w:eastAsiaTheme="minorEastAsia" w:hAnsiTheme="minorEastAsia" w:hint="eastAsia"/>
          <w:sz w:val="28"/>
          <w:szCs w:val="28"/>
        </w:rPr>
        <w:t>收入。</w:t>
      </w:r>
    </w:p>
    <w:p w:rsidR="00A25CCB" w:rsidRPr="002C5D67" w:rsidRDefault="00A25CCB" w:rsidP="00A25CCB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B92E2A" w:rsidRPr="002E360D" w:rsidRDefault="00B92E2A" w:rsidP="00B92E2A">
      <w:pPr>
        <w:pStyle w:val="3"/>
        <w:numPr>
          <w:ilvl w:val="0"/>
          <w:numId w:val="2"/>
        </w:numPr>
        <w:tabs>
          <w:tab w:val="clear" w:pos="425"/>
          <w:tab w:val="num" w:pos="567"/>
        </w:tabs>
        <w:spacing w:line="240" w:lineRule="atLeast"/>
        <w:ind w:left="567"/>
        <w:rPr>
          <w:rFonts w:ascii="宋体" w:hAnsi="宋体"/>
          <w:sz w:val="28"/>
          <w:szCs w:val="28"/>
        </w:rPr>
      </w:pPr>
      <w:bookmarkStart w:id="55" w:name="_Toc422235158"/>
      <w:bookmarkStart w:id="56" w:name="_Toc450668465"/>
      <w:bookmarkEnd w:id="55"/>
      <w:r w:rsidRPr="002E360D">
        <w:rPr>
          <w:rFonts w:ascii="宋体" w:hAnsi="宋体" w:hint="eastAsia"/>
          <w:sz w:val="28"/>
          <w:szCs w:val="28"/>
        </w:rPr>
        <w:lastRenderedPageBreak/>
        <w:t>工程阶段项目设计容量完成情况分析</w:t>
      </w:r>
      <w:bookmarkEnd w:id="56"/>
    </w:p>
    <w:p w:rsidR="003A60BC" w:rsidRPr="002E360D" w:rsidRDefault="00B92E2A" w:rsidP="00B92E2A">
      <w:pPr>
        <w:numPr>
          <w:ilvl w:val="1"/>
          <w:numId w:val="2"/>
        </w:numPr>
        <w:tabs>
          <w:tab w:val="clear" w:pos="567"/>
          <w:tab w:val="num" w:pos="709"/>
        </w:tabs>
        <w:spacing w:line="240" w:lineRule="atLeast"/>
        <w:ind w:left="709"/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t>发电工程</w:t>
      </w:r>
      <w:r w:rsidR="003A60BC" w:rsidRPr="002E360D">
        <w:rPr>
          <w:rFonts w:ascii="宋体" w:hAnsi="宋体" w:hint="eastAsia"/>
          <w:b/>
          <w:noProof/>
          <w:sz w:val="28"/>
          <w:szCs w:val="28"/>
        </w:rPr>
        <w:t>完成情况分析</w:t>
      </w:r>
    </w:p>
    <w:p w:rsidR="00B92E2A" w:rsidRPr="002C5D67" w:rsidRDefault="00B92E2A" w:rsidP="0064596A">
      <w:pPr>
        <w:spacing w:line="240" w:lineRule="atLeast"/>
        <w:ind w:left="709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发电工程初可阶段完成的设计容量构成分析</w:t>
      </w:r>
    </w:p>
    <w:p w:rsidR="00B92E2A" w:rsidRDefault="00B92E2A" w:rsidP="00B92E2A">
      <w:pPr>
        <w:spacing w:line="240" w:lineRule="atLeast"/>
        <w:ind w:firstLineChars="98" w:firstLine="236"/>
        <w:rPr>
          <w:rFonts w:ascii="宋体" w:hAnsi="宋体"/>
          <w:b/>
          <w:sz w:val="24"/>
        </w:rPr>
      </w:pPr>
      <w:r w:rsidRPr="002C5D67">
        <w:rPr>
          <w:rFonts w:ascii="宋体" w:hAnsi="宋体" w:hint="eastAsia"/>
          <w:b/>
          <w:sz w:val="24"/>
        </w:rPr>
        <w:t>单位：MW</w:t>
      </w:r>
    </w:p>
    <w:p w:rsidR="00371875" w:rsidRDefault="00371875" w:rsidP="00371875">
      <w:pPr>
        <w:spacing w:line="240" w:lineRule="atLeast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>
            <wp:extent cx="9036050" cy="1740551"/>
            <wp:effectExtent l="19050" t="0" r="0" b="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4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75" w:rsidRDefault="00371875" w:rsidP="00371875">
      <w:pPr>
        <w:spacing w:line="240" w:lineRule="atLeast"/>
        <w:rPr>
          <w:rFonts w:ascii="宋体" w:hAnsi="宋体"/>
          <w:b/>
          <w:sz w:val="24"/>
        </w:rPr>
      </w:pPr>
    </w:p>
    <w:p w:rsidR="00371875" w:rsidRPr="002C5D67" w:rsidRDefault="00371875" w:rsidP="00371875">
      <w:pPr>
        <w:spacing w:line="240" w:lineRule="atLeast"/>
        <w:rPr>
          <w:rFonts w:ascii="宋体" w:hAnsi="宋体"/>
          <w:b/>
          <w:sz w:val="24"/>
        </w:rPr>
      </w:pPr>
    </w:p>
    <w:p w:rsidR="00E7071D" w:rsidRPr="002C5D67" w:rsidRDefault="00371875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657882" cy="2190750"/>
            <wp:effectExtent l="19050" t="0" r="0" b="0"/>
            <wp:docPr id="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22" cy="219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21153" cy="2198942"/>
            <wp:effectExtent l="19050" t="0" r="7697" b="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9" cy="22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18" w:rsidRPr="002C5D67" w:rsidRDefault="00B92E2A" w:rsidP="00371875">
      <w:pPr>
        <w:spacing w:line="360" w:lineRule="auto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sz w:val="28"/>
          <w:szCs w:val="28"/>
        </w:rPr>
        <w:t xml:space="preserve"> </w:t>
      </w:r>
    </w:p>
    <w:p w:rsidR="00B92E2A" w:rsidRPr="002C5D67" w:rsidRDefault="00B92E2A" w:rsidP="00B92E2A">
      <w:pPr>
        <w:spacing w:line="240" w:lineRule="atLeast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发电工程可研阶段完成的设计容量构成分析</w:t>
      </w:r>
    </w:p>
    <w:p w:rsidR="00B92E2A" w:rsidRPr="002C5D67" w:rsidRDefault="00B92E2A" w:rsidP="00193718">
      <w:pPr>
        <w:ind w:firstLineChars="98" w:firstLine="275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t>单位：</w:t>
      </w:r>
      <w:r w:rsidRPr="002C5D67">
        <w:rPr>
          <w:rFonts w:ascii="宋体" w:hAnsi="宋体" w:hint="eastAsia"/>
          <w:b/>
          <w:noProof/>
          <w:sz w:val="24"/>
        </w:rPr>
        <w:t>MW</w:t>
      </w:r>
    </w:p>
    <w:p w:rsidR="00B92E2A" w:rsidRPr="002C5D67" w:rsidRDefault="00371875" w:rsidP="00B92E2A">
      <w:pPr>
        <w:spacing w:line="360" w:lineRule="auto"/>
        <w:rPr>
          <w:rFonts w:ascii="宋体" w:hAnsi="宋体"/>
          <w:b/>
          <w:noProof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735217"/>
            <wp:effectExtent l="19050" t="0" r="0" b="0"/>
            <wp:docPr id="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3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96A" w:rsidRPr="002C5D67" w:rsidRDefault="0064596A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B92E2A" w:rsidRPr="002C5D67" w:rsidRDefault="00371875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600825" cy="2176566"/>
            <wp:effectExtent l="19050" t="0" r="9525" b="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09" cy="217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76475" cy="2225237"/>
            <wp:effectExtent l="19050" t="0" r="9525" b="0"/>
            <wp:docPr id="7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77" cy="22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2A" w:rsidRPr="002C5D67" w:rsidRDefault="00B92E2A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193718" w:rsidRDefault="00193718" w:rsidP="00193718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</w:p>
    <w:p w:rsidR="00371875" w:rsidRPr="002C5D67" w:rsidRDefault="00371875" w:rsidP="00193718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</w:p>
    <w:p w:rsidR="00193718" w:rsidRPr="002C5D67" w:rsidRDefault="00193718" w:rsidP="00193718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lastRenderedPageBreak/>
        <w:t>发电初设阶段完成设计容量构成分析</w:t>
      </w:r>
    </w:p>
    <w:p w:rsidR="00193718" w:rsidRPr="002C5D67" w:rsidRDefault="00193718" w:rsidP="00193718">
      <w:pPr>
        <w:spacing w:line="240" w:lineRule="atLeast"/>
        <w:ind w:firstLineChars="98" w:firstLine="236"/>
        <w:rPr>
          <w:rFonts w:ascii="宋体" w:hAnsi="宋体"/>
          <w:b/>
          <w:sz w:val="24"/>
        </w:rPr>
      </w:pPr>
      <w:r w:rsidRPr="002C5D67">
        <w:rPr>
          <w:rFonts w:ascii="宋体" w:hAnsi="宋体" w:hint="eastAsia"/>
          <w:b/>
          <w:sz w:val="24"/>
        </w:rPr>
        <w:t>单位：MW</w:t>
      </w:r>
    </w:p>
    <w:p w:rsidR="00193718" w:rsidRPr="002C5D67" w:rsidRDefault="00371875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768720"/>
            <wp:effectExtent l="19050" t="0" r="0" b="0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18" w:rsidRPr="002C5D67" w:rsidRDefault="00193718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193718" w:rsidRPr="002C5D67" w:rsidRDefault="00371875" w:rsidP="00EF4097">
      <w:pPr>
        <w:spacing w:line="360" w:lineRule="auto"/>
        <w:ind w:firstLineChars="98" w:firstLine="275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349247" cy="2105025"/>
            <wp:effectExtent l="19050" t="0" r="0" b="0"/>
            <wp:docPr id="8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51" cy="21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143125" cy="2046960"/>
            <wp:effectExtent l="19050" t="0" r="9525" b="0"/>
            <wp:docPr id="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01" cy="20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18" w:rsidRDefault="00193718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EF4097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532350" w:rsidRPr="002C5D67" w:rsidRDefault="00532350" w:rsidP="00193718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</w:p>
    <w:p w:rsidR="00193718" w:rsidRPr="002C5D67" w:rsidRDefault="00193718" w:rsidP="00193718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lastRenderedPageBreak/>
        <w:t>发电工程施工图阶段完成设计容量构成分析</w:t>
      </w:r>
    </w:p>
    <w:p w:rsidR="00193718" w:rsidRPr="002C5D67" w:rsidRDefault="00193718" w:rsidP="00532350">
      <w:pPr>
        <w:ind w:firstLineChars="98" w:firstLine="275"/>
        <w:rPr>
          <w:rFonts w:ascii="宋体" w:hAnsi="宋体"/>
          <w:b/>
          <w:noProof/>
          <w:sz w:val="24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t>单位：</w:t>
      </w:r>
      <w:r w:rsidRPr="002C5D67">
        <w:rPr>
          <w:rFonts w:ascii="宋体" w:hAnsi="宋体" w:hint="eastAsia"/>
          <w:b/>
          <w:noProof/>
          <w:sz w:val="24"/>
        </w:rPr>
        <w:t>MW</w:t>
      </w:r>
    </w:p>
    <w:p w:rsidR="00193718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794262"/>
            <wp:effectExtent l="19050" t="0" r="0" b="0"/>
            <wp:docPr id="9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9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18" w:rsidRPr="002C5D67" w:rsidRDefault="00193718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193718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517512" cy="2209800"/>
            <wp:effectExtent l="19050" t="0" r="0" b="0"/>
            <wp:docPr id="9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31689" cy="2160160"/>
            <wp:effectExtent l="19050" t="0" r="0" b="0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89" cy="216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18" w:rsidRDefault="00193718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EF4097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857477" w:rsidRPr="002E360D" w:rsidRDefault="00857477" w:rsidP="00857477">
      <w:pPr>
        <w:numPr>
          <w:ilvl w:val="1"/>
          <w:numId w:val="2"/>
        </w:numPr>
        <w:tabs>
          <w:tab w:val="clear" w:pos="567"/>
          <w:tab w:val="num" w:pos="709"/>
        </w:tabs>
        <w:spacing w:line="240" w:lineRule="atLeast"/>
        <w:ind w:left="709"/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lastRenderedPageBreak/>
        <w:t>变电工程</w:t>
      </w:r>
      <w:r w:rsidR="003A60BC" w:rsidRPr="002E360D">
        <w:rPr>
          <w:rFonts w:ascii="宋体" w:hAnsi="宋体" w:hint="eastAsia"/>
          <w:b/>
          <w:noProof/>
          <w:sz w:val="28"/>
          <w:szCs w:val="28"/>
        </w:rPr>
        <w:t>完成情况分析</w:t>
      </w:r>
    </w:p>
    <w:p w:rsidR="00857477" w:rsidRPr="002C5D67" w:rsidRDefault="00857477" w:rsidP="00857477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变电工程初设阶段完成设计容量构成分析</w:t>
      </w:r>
    </w:p>
    <w:p w:rsidR="00857477" w:rsidRPr="002C5D67" w:rsidRDefault="00857477" w:rsidP="003A60BC">
      <w:pPr>
        <w:ind w:firstLineChars="196" w:firstLine="472"/>
        <w:rPr>
          <w:rFonts w:ascii="宋体" w:hAnsi="宋体"/>
          <w:b/>
          <w:noProof/>
          <w:sz w:val="24"/>
        </w:rPr>
      </w:pPr>
      <w:r w:rsidRPr="002C5D67">
        <w:rPr>
          <w:rFonts w:ascii="宋体" w:hAnsi="宋体" w:hint="eastAsia"/>
          <w:b/>
          <w:noProof/>
          <w:sz w:val="24"/>
        </w:rPr>
        <w:t>单位：MVA</w:t>
      </w:r>
    </w:p>
    <w:p w:rsidR="00857477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783551"/>
            <wp:effectExtent l="19050" t="0" r="0" b="0"/>
            <wp:docPr id="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8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77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701966" cy="2190750"/>
            <wp:effectExtent l="19050" t="0" r="3634" b="0"/>
            <wp:docPr id="9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6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47900" cy="2190629"/>
            <wp:effectExtent l="19050" t="0" r="0" b="0"/>
            <wp:docPr id="9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9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477" w:rsidRDefault="00857477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EF409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EF4097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C5D67" w:rsidRDefault="003A60BC" w:rsidP="003A60BC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变电工程施工图阶段完成设计容量构成分析</w:t>
      </w:r>
    </w:p>
    <w:p w:rsidR="003A60BC" w:rsidRPr="002C5D67" w:rsidRDefault="003A60BC" w:rsidP="003A60BC">
      <w:pPr>
        <w:ind w:firstLineChars="98" w:firstLine="236"/>
        <w:rPr>
          <w:rFonts w:ascii="宋体" w:hAnsi="宋体"/>
          <w:b/>
          <w:noProof/>
          <w:sz w:val="24"/>
        </w:rPr>
      </w:pPr>
      <w:r w:rsidRPr="002C5D67">
        <w:rPr>
          <w:rFonts w:ascii="宋体" w:hAnsi="宋体" w:hint="eastAsia"/>
          <w:b/>
          <w:noProof/>
          <w:sz w:val="24"/>
        </w:rPr>
        <w:t>单位：MVA</w:t>
      </w:r>
    </w:p>
    <w:p w:rsidR="00193718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814541"/>
            <wp:effectExtent l="19050" t="0" r="0" b="0"/>
            <wp:docPr id="10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81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C" w:rsidRPr="002C5D67" w:rsidRDefault="003A60B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C5D67" w:rsidRDefault="00EF4097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531187" cy="2209800"/>
            <wp:effectExtent l="19050" t="0" r="2963" b="0"/>
            <wp:docPr id="10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8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34976" cy="2162175"/>
            <wp:effectExtent l="19050" t="0" r="0" b="0"/>
            <wp:docPr id="10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44" cy="216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A2C" w:rsidRPr="002C5D67" w:rsidRDefault="00180A2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180A2C" w:rsidRPr="002C5D67" w:rsidRDefault="00180A2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E360D" w:rsidRDefault="003A60BC" w:rsidP="003A60BC">
      <w:pPr>
        <w:numPr>
          <w:ilvl w:val="1"/>
          <w:numId w:val="2"/>
        </w:numPr>
        <w:tabs>
          <w:tab w:val="clear" w:pos="567"/>
          <w:tab w:val="num" w:pos="709"/>
        </w:tabs>
        <w:spacing w:line="240" w:lineRule="atLeast"/>
        <w:ind w:left="709"/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lastRenderedPageBreak/>
        <w:t>送电工程完成情况分析</w:t>
      </w:r>
    </w:p>
    <w:p w:rsidR="003A60BC" w:rsidRPr="002C5D67" w:rsidRDefault="003A60BC" w:rsidP="003A60BC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送电工程初设阶段完成设计容量构成分析</w:t>
      </w:r>
    </w:p>
    <w:p w:rsidR="003A60BC" w:rsidRPr="002C5D67" w:rsidRDefault="003A60BC" w:rsidP="003A60BC">
      <w:pPr>
        <w:ind w:firstLineChars="147" w:firstLine="354"/>
        <w:rPr>
          <w:rFonts w:ascii="宋体" w:hAnsi="宋体"/>
          <w:b/>
          <w:noProof/>
          <w:sz w:val="24"/>
        </w:rPr>
      </w:pPr>
      <w:r w:rsidRPr="002C5D67">
        <w:rPr>
          <w:rFonts w:ascii="宋体" w:hAnsi="宋体" w:hint="eastAsia"/>
          <w:b/>
          <w:noProof/>
          <w:sz w:val="24"/>
        </w:rPr>
        <w:t>单位：km</w:t>
      </w:r>
    </w:p>
    <w:p w:rsidR="003A60BC" w:rsidRPr="002C5D67" w:rsidRDefault="00A007E8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801723"/>
            <wp:effectExtent l="19050" t="0" r="0" b="0"/>
            <wp:docPr id="10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8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C" w:rsidRPr="002C5D67" w:rsidRDefault="003A60B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C5D67" w:rsidRDefault="00A007E8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648450" cy="2185003"/>
            <wp:effectExtent l="19050" t="0" r="0" b="0"/>
            <wp:docPr id="10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43" cy="21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268475" cy="2181225"/>
            <wp:effectExtent l="19050" t="0" r="0" b="0"/>
            <wp:docPr id="10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03" cy="219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C" w:rsidRPr="002C5D67" w:rsidRDefault="003A60B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C5D67" w:rsidRDefault="003A60B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3A60BC" w:rsidRPr="002C5D67" w:rsidRDefault="003A60BC" w:rsidP="003A60BC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送电工程施设阶段完成设计容量构成分析</w:t>
      </w:r>
    </w:p>
    <w:p w:rsidR="003A60BC" w:rsidRPr="002C5D67" w:rsidRDefault="003A60BC" w:rsidP="00695F2A">
      <w:pPr>
        <w:spacing w:line="360" w:lineRule="auto"/>
        <w:ind w:firstLineChars="147" w:firstLine="354"/>
        <w:rPr>
          <w:rFonts w:ascii="宋体" w:hAnsi="宋体"/>
          <w:b/>
          <w:noProof/>
          <w:sz w:val="24"/>
        </w:rPr>
      </w:pPr>
      <w:r w:rsidRPr="002C5D67">
        <w:rPr>
          <w:rFonts w:ascii="宋体" w:hAnsi="宋体" w:hint="eastAsia"/>
          <w:b/>
          <w:noProof/>
          <w:sz w:val="24"/>
        </w:rPr>
        <w:t>单位：km</w:t>
      </w:r>
    </w:p>
    <w:p w:rsidR="003A60BC" w:rsidRPr="002C5D67" w:rsidRDefault="00A007E8" w:rsidP="00B92E2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9036050" cy="1770328"/>
            <wp:effectExtent l="19050" t="0" r="0" b="0"/>
            <wp:docPr id="10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0" cy="177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BC" w:rsidRPr="002C5D67" w:rsidRDefault="003A60BC" w:rsidP="00B92E2A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5D7651" w:rsidRPr="002C5D67" w:rsidRDefault="00A007E8" w:rsidP="003A7A90">
      <w:pPr>
        <w:spacing w:line="360" w:lineRule="auto"/>
        <w:ind w:left="567"/>
        <w:rPr>
          <w:rFonts w:ascii="宋体" w:hAnsi="宋体"/>
          <w:b/>
          <w:sz w:val="28"/>
          <w:szCs w:val="28"/>
        </w:rPr>
        <w:sectPr w:rsidR="005D7651" w:rsidRPr="002C5D67" w:rsidSect="003A7A90">
          <w:pgSz w:w="16838" w:h="11906" w:orient="landscape"/>
          <w:pgMar w:top="1418" w:right="1304" w:bottom="1077" w:left="1304" w:header="851" w:footer="992" w:gutter="0"/>
          <w:cols w:space="425"/>
          <w:docGrid w:linePitch="312"/>
        </w:sect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6382253" cy="2085975"/>
            <wp:effectExtent l="19050" t="0" r="0" b="0"/>
            <wp:docPr id="11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5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160429" cy="2084016"/>
            <wp:effectExtent l="19050" t="0" r="0" b="0"/>
            <wp:docPr id="11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03" cy="20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73C" w:rsidRPr="002C5D67" w:rsidRDefault="00B5273C" w:rsidP="00B5273C">
      <w:pPr>
        <w:pStyle w:val="2"/>
        <w:numPr>
          <w:ilvl w:val="0"/>
          <w:numId w:val="1"/>
        </w:numPr>
        <w:rPr>
          <w:rFonts w:ascii="宋体" w:eastAsia="宋体" w:hAnsi="宋体"/>
          <w:sz w:val="28"/>
          <w:szCs w:val="28"/>
        </w:rPr>
      </w:pPr>
      <w:bookmarkStart w:id="57" w:name="_Toc356481040"/>
      <w:bookmarkStart w:id="58" w:name="_Toc450668466"/>
      <w:r w:rsidRPr="002C5D67">
        <w:rPr>
          <w:rFonts w:ascii="宋体" w:eastAsia="宋体" w:hAnsi="宋体" w:hint="eastAsia"/>
        </w:rPr>
        <w:lastRenderedPageBreak/>
        <w:t>按所属集团统计指标分析</w:t>
      </w:r>
      <w:bookmarkEnd w:id="57"/>
      <w:bookmarkEnd w:id="58"/>
    </w:p>
    <w:p w:rsidR="00B5273C" w:rsidRPr="002C5D67" w:rsidRDefault="00B5273C" w:rsidP="00B5273C">
      <w:pPr>
        <w:spacing w:line="360" w:lineRule="auto"/>
        <w:ind w:firstLineChars="200" w:firstLine="480"/>
        <w:rPr>
          <w:sz w:val="24"/>
        </w:rPr>
      </w:pPr>
      <w:r w:rsidRPr="002C5D67">
        <w:rPr>
          <w:rFonts w:hint="eastAsia"/>
          <w:sz w:val="24"/>
        </w:rPr>
        <w:t>以下分析中表述的中能建和中电建的所属单位，仅含两集团公司勘测设计事业部下属设计</w:t>
      </w:r>
      <w:r w:rsidRPr="002C5D67">
        <w:rPr>
          <w:rFonts w:cs="宋体" w:hint="eastAsia"/>
          <w:sz w:val="24"/>
        </w:rPr>
        <w:t>院。</w:t>
      </w:r>
    </w:p>
    <w:p w:rsidR="00B5273C" w:rsidRPr="002E360D" w:rsidRDefault="00B5273C" w:rsidP="00B5273C">
      <w:pPr>
        <w:pStyle w:val="3"/>
        <w:numPr>
          <w:ilvl w:val="0"/>
          <w:numId w:val="10"/>
        </w:numPr>
        <w:rPr>
          <w:rFonts w:ascii="宋体" w:hAnsi="宋体"/>
          <w:sz w:val="28"/>
          <w:szCs w:val="28"/>
        </w:rPr>
      </w:pPr>
      <w:bookmarkStart w:id="59" w:name="_Toc356481041"/>
      <w:bookmarkStart w:id="60" w:name="_Toc450668467"/>
      <w:r w:rsidRPr="002E360D">
        <w:rPr>
          <w:rFonts w:ascii="宋体" w:hAnsi="宋体" w:hint="eastAsia"/>
          <w:sz w:val="28"/>
          <w:szCs w:val="28"/>
        </w:rPr>
        <w:t>人力资源情况</w:t>
      </w:r>
      <w:bookmarkEnd w:id="59"/>
      <w:bookmarkEnd w:id="60"/>
    </w:p>
    <w:p w:rsidR="00B5273C" w:rsidRPr="002E360D" w:rsidRDefault="00B5273C" w:rsidP="00B5273C">
      <w:pPr>
        <w:numPr>
          <w:ilvl w:val="1"/>
          <w:numId w:val="9"/>
        </w:num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t>人员情况</w:t>
      </w:r>
    </w:p>
    <w:p w:rsidR="003A7A90" w:rsidRPr="002C5D67" w:rsidRDefault="00B5273C" w:rsidP="00B5273C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201</w:t>
      </w:r>
      <w:r w:rsidR="00411522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年电力勘察设计人员情况分析</w:t>
      </w:r>
    </w:p>
    <w:tbl>
      <w:tblPr>
        <w:tblW w:w="10070" w:type="dxa"/>
        <w:jc w:val="center"/>
        <w:tblInd w:w="103" w:type="dxa"/>
        <w:tblLook w:val="04A0"/>
      </w:tblPr>
      <w:tblGrid>
        <w:gridCol w:w="397"/>
        <w:gridCol w:w="794"/>
        <w:gridCol w:w="666"/>
        <w:gridCol w:w="576"/>
        <w:gridCol w:w="576"/>
        <w:gridCol w:w="666"/>
        <w:gridCol w:w="576"/>
        <w:gridCol w:w="568"/>
        <w:gridCol w:w="576"/>
        <w:gridCol w:w="666"/>
        <w:gridCol w:w="576"/>
        <w:gridCol w:w="561"/>
        <w:gridCol w:w="576"/>
        <w:gridCol w:w="576"/>
        <w:gridCol w:w="576"/>
        <w:gridCol w:w="568"/>
        <w:gridCol w:w="576"/>
      </w:tblGrid>
      <w:tr w:rsidR="00411522" w:rsidRPr="00411522" w:rsidTr="001B7DD0">
        <w:trPr>
          <w:trHeight w:val="402"/>
          <w:jc w:val="center"/>
        </w:trPr>
        <w:tc>
          <w:tcPr>
            <w:tcW w:w="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1B7DD0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spacing w:val="-20"/>
                <w:kern w:val="0"/>
                <w:sz w:val="18"/>
                <w:szCs w:val="18"/>
              </w:rPr>
            </w:pPr>
            <w:r w:rsidRPr="001B7DD0">
              <w:rPr>
                <w:rFonts w:ascii="宋体" w:hAnsi="宋体" w:cs="宋体" w:hint="eastAsia"/>
                <w:b/>
                <w:bCs/>
                <w:spacing w:val="-20"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年末职工</w:t>
            </w:r>
          </w:p>
        </w:tc>
        <w:tc>
          <w:tcPr>
            <w:tcW w:w="24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专业技术人员</w:t>
            </w:r>
          </w:p>
        </w:tc>
        <w:tc>
          <w:tcPr>
            <w:tcW w:w="2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生产人员</w:t>
            </w:r>
          </w:p>
        </w:tc>
        <w:tc>
          <w:tcPr>
            <w:tcW w:w="23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注册执业人员</w:t>
            </w:r>
          </w:p>
        </w:tc>
      </w:tr>
      <w:tr w:rsidR="00411522" w:rsidRPr="00411522" w:rsidTr="001B7DD0">
        <w:trPr>
          <w:trHeight w:val="600"/>
          <w:jc w:val="center"/>
        </w:trPr>
        <w:tc>
          <w:tcPr>
            <w:tcW w:w="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占职工总数%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411522" w:rsidRPr="00411522" w:rsidTr="001B7DD0">
        <w:trPr>
          <w:trHeight w:val="402"/>
          <w:jc w:val="center"/>
        </w:trPr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33509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27645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105%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27270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9378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104%</w:t>
            </w:r>
          </w:p>
        </w:tc>
      </w:tr>
      <w:tr w:rsidR="00411522" w:rsidRPr="00411522" w:rsidTr="001B7DD0">
        <w:trPr>
          <w:trHeight w:val="462"/>
          <w:jc w:val="center"/>
        </w:trPr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1B7DD0" w:rsidRDefault="00411522" w:rsidP="00411522">
            <w:pPr>
              <w:widowControl/>
              <w:jc w:val="left"/>
              <w:rPr>
                <w:rFonts w:ascii="宋体" w:hAnsi="宋体" w:cs="宋体"/>
                <w:spacing w:val="-20"/>
                <w:kern w:val="0"/>
                <w:sz w:val="18"/>
                <w:szCs w:val="18"/>
              </w:rPr>
            </w:pPr>
            <w:r w:rsidRPr="001B7DD0">
              <w:rPr>
                <w:rFonts w:ascii="宋体" w:hAnsi="宋体" w:cs="宋体" w:hint="eastAsia"/>
                <w:spacing w:val="-2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8358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25%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99%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7017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26%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84%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2367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25%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107%</w:t>
            </w:r>
          </w:p>
        </w:tc>
      </w:tr>
      <w:tr w:rsidR="00411522" w:rsidRPr="00411522" w:rsidTr="001B7DD0">
        <w:trPr>
          <w:trHeight w:val="402"/>
          <w:jc w:val="center"/>
        </w:trPr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9224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8156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30%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88%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117%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7426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27%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2705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29%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101%</w:t>
            </w:r>
          </w:p>
        </w:tc>
      </w:tr>
      <w:tr w:rsidR="00411522" w:rsidRPr="00411522" w:rsidTr="001B7DD0">
        <w:trPr>
          <w:trHeight w:val="402"/>
          <w:jc w:val="center"/>
        </w:trPr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5350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16%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107%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4126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15%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84%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4094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15%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111%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1987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21%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114%</w:t>
            </w:r>
          </w:p>
        </w:tc>
      </w:tr>
      <w:tr w:rsidR="00411522" w:rsidRPr="00411522" w:rsidTr="001B7DD0">
        <w:trPr>
          <w:trHeight w:val="402"/>
          <w:jc w:val="center"/>
        </w:trPr>
        <w:tc>
          <w:tcPr>
            <w:tcW w:w="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10577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95%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8083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29%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76%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75%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8733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32%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83%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102%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2319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25%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22%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522" w:rsidRPr="00411522" w:rsidRDefault="00411522" w:rsidP="00411522">
            <w:pPr>
              <w:widowControl/>
              <w:jc w:val="righ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11522">
              <w:rPr>
                <w:rFonts w:ascii="宋体" w:hAnsi="宋体" w:cs="宋体" w:hint="eastAsia"/>
                <w:kern w:val="0"/>
                <w:sz w:val="18"/>
                <w:szCs w:val="18"/>
              </w:rPr>
              <w:t>98%</w:t>
            </w:r>
          </w:p>
        </w:tc>
      </w:tr>
    </w:tbl>
    <w:p w:rsidR="00194B90" w:rsidRPr="002C5D67" w:rsidRDefault="00194B90" w:rsidP="00194B90">
      <w:pPr>
        <w:spacing w:line="360" w:lineRule="auto"/>
        <w:ind w:firstLineChars="200" w:firstLine="560"/>
      </w:pPr>
      <w:r w:rsidRPr="002C5D67">
        <w:rPr>
          <w:rFonts w:ascii="宋体" w:hAnsi="宋体" w:hint="eastAsia"/>
          <w:sz w:val="28"/>
          <w:szCs w:val="28"/>
        </w:rPr>
        <w:t>201</w:t>
      </w:r>
      <w:r w:rsidR="00411522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年年末职工共</w:t>
      </w:r>
      <w:r w:rsidR="00411522">
        <w:rPr>
          <w:rFonts w:ascii="宋体" w:hAnsi="宋体" w:hint="eastAsia"/>
          <w:sz w:val="28"/>
          <w:szCs w:val="28"/>
        </w:rPr>
        <w:t>33509</w:t>
      </w:r>
      <w:r w:rsidRPr="002C5D67">
        <w:rPr>
          <w:rFonts w:ascii="宋体" w:hAnsi="宋体" w:hint="eastAsia"/>
          <w:sz w:val="28"/>
          <w:szCs w:val="28"/>
        </w:rPr>
        <w:t>人</w:t>
      </w:r>
      <w:r w:rsidR="001D3991" w:rsidRPr="002C5D67">
        <w:rPr>
          <w:rFonts w:ascii="宋体" w:hAnsi="宋体" w:hint="eastAsia"/>
          <w:sz w:val="28"/>
          <w:szCs w:val="28"/>
        </w:rPr>
        <w:t>，同比</w:t>
      </w:r>
      <w:r w:rsidR="00411522">
        <w:rPr>
          <w:rFonts w:ascii="宋体" w:hAnsi="宋体" w:hint="eastAsia"/>
          <w:sz w:val="28"/>
          <w:szCs w:val="28"/>
        </w:rPr>
        <w:t>减少1</w:t>
      </w:r>
      <w:r w:rsidR="001D3991"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hint="eastAsia"/>
          <w:sz w:val="28"/>
          <w:szCs w:val="28"/>
        </w:rPr>
        <w:t>。其中：中电工程</w:t>
      </w:r>
      <w:r w:rsidR="00411522">
        <w:rPr>
          <w:rFonts w:ascii="宋体" w:hAnsi="宋体" w:hint="eastAsia"/>
          <w:sz w:val="28"/>
          <w:szCs w:val="28"/>
        </w:rPr>
        <w:t>8358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842DF8" w:rsidRPr="002C5D67">
        <w:rPr>
          <w:rFonts w:ascii="宋体" w:hAnsi="宋体" w:hint="eastAsia"/>
          <w:sz w:val="28"/>
          <w:szCs w:val="28"/>
        </w:rPr>
        <w:t>2</w:t>
      </w:r>
      <w:r w:rsidR="00842DF8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%；中能建</w:t>
      </w:r>
      <w:r w:rsidR="00411522">
        <w:rPr>
          <w:rFonts w:ascii="宋体" w:hAnsi="宋体" w:hint="eastAsia"/>
          <w:sz w:val="28"/>
          <w:szCs w:val="28"/>
        </w:rPr>
        <w:t>9224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411522">
        <w:rPr>
          <w:rFonts w:ascii="宋体" w:hAnsi="宋体" w:hint="eastAsia"/>
          <w:sz w:val="28"/>
          <w:szCs w:val="28"/>
        </w:rPr>
        <w:t>8</w:t>
      </w:r>
      <w:r w:rsidRPr="002C5D67">
        <w:rPr>
          <w:rFonts w:ascii="宋体" w:hAnsi="宋体" w:hint="eastAsia"/>
          <w:sz w:val="28"/>
          <w:szCs w:val="28"/>
        </w:rPr>
        <w:t>%；中电建</w:t>
      </w:r>
      <w:r w:rsidR="00411522">
        <w:rPr>
          <w:rFonts w:ascii="宋体" w:hAnsi="宋体" w:hint="eastAsia"/>
          <w:sz w:val="28"/>
          <w:szCs w:val="28"/>
        </w:rPr>
        <w:t>5350</w:t>
      </w:r>
      <w:r w:rsidRPr="002C5D67">
        <w:rPr>
          <w:rFonts w:ascii="宋体" w:hAnsi="宋体" w:hint="eastAsia"/>
          <w:sz w:val="28"/>
          <w:szCs w:val="28"/>
        </w:rPr>
        <w:t>人，占1</w:t>
      </w:r>
      <w:r w:rsidR="00411522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%，其它</w:t>
      </w:r>
      <w:r w:rsidR="00411522">
        <w:rPr>
          <w:rFonts w:ascii="宋体" w:hAnsi="宋体" w:hint="eastAsia"/>
          <w:sz w:val="28"/>
          <w:szCs w:val="28"/>
        </w:rPr>
        <w:t>10577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842DF8" w:rsidRPr="002C5D67">
        <w:rPr>
          <w:rFonts w:ascii="宋体" w:hAnsi="宋体" w:hint="eastAsia"/>
          <w:sz w:val="28"/>
          <w:szCs w:val="28"/>
        </w:rPr>
        <w:t>3</w:t>
      </w:r>
      <w:r w:rsidR="00411522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194B90" w:rsidRDefault="00411522" w:rsidP="007E0D78">
      <w:pPr>
        <w:ind w:firstLineChars="350" w:firstLine="735"/>
        <w:jc w:val="center"/>
      </w:pPr>
      <w:r w:rsidRPr="00411522">
        <w:rPr>
          <w:noProof/>
        </w:rPr>
        <w:drawing>
          <wp:inline distT="0" distB="0" distL="0" distR="0">
            <wp:extent cx="5038725" cy="2428875"/>
            <wp:effectExtent l="19050" t="0" r="9525" b="0"/>
            <wp:docPr id="6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411522" w:rsidRDefault="00411522" w:rsidP="00411522">
      <w:pPr>
        <w:ind w:firstLineChars="350" w:firstLine="735"/>
      </w:pPr>
    </w:p>
    <w:p w:rsidR="00411522" w:rsidRPr="002C5D67" w:rsidRDefault="00411522" w:rsidP="00411522">
      <w:pPr>
        <w:ind w:firstLineChars="350" w:firstLine="735"/>
      </w:pPr>
    </w:p>
    <w:p w:rsidR="00E15437" w:rsidRPr="002C5D67" w:rsidRDefault="00E15437" w:rsidP="00E15437">
      <w:pPr>
        <w:spacing w:line="360" w:lineRule="auto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专业技术人员</w:t>
      </w:r>
    </w:p>
    <w:p w:rsidR="00E15437" w:rsidRPr="002C5D67" w:rsidRDefault="00E15437" w:rsidP="00E1543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411522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</w:t>
      </w:r>
      <w:r w:rsidR="001D3991" w:rsidRPr="002C5D67">
        <w:rPr>
          <w:rFonts w:ascii="宋体" w:hAnsi="宋体" w:hint="eastAsia"/>
          <w:sz w:val="28"/>
          <w:szCs w:val="28"/>
        </w:rPr>
        <w:t>，</w:t>
      </w:r>
      <w:r w:rsidRPr="002C5D67">
        <w:rPr>
          <w:rFonts w:ascii="宋体" w:hAnsi="宋体" w:hint="eastAsia"/>
          <w:sz w:val="28"/>
          <w:szCs w:val="28"/>
        </w:rPr>
        <w:t>年末专业技术人员</w:t>
      </w:r>
      <w:r w:rsidR="00411522">
        <w:rPr>
          <w:rFonts w:ascii="宋体" w:hAnsi="宋体" w:hint="eastAsia"/>
          <w:sz w:val="28"/>
          <w:szCs w:val="28"/>
        </w:rPr>
        <w:t>27645</w:t>
      </w:r>
      <w:r w:rsidRPr="002C5D67">
        <w:rPr>
          <w:rFonts w:ascii="宋体" w:hAnsi="宋体" w:hint="eastAsia"/>
          <w:sz w:val="28"/>
          <w:szCs w:val="28"/>
        </w:rPr>
        <w:t>人，</w:t>
      </w:r>
      <w:r w:rsidR="001D3991" w:rsidRPr="002C5D67">
        <w:rPr>
          <w:rFonts w:ascii="宋体" w:hAnsi="宋体" w:hint="eastAsia"/>
          <w:sz w:val="28"/>
          <w:szCs w:val="28"/>
        </w:rPr>
        <w:t>同比</w:t>
      </w:r>
      <w:r w:rsidR="00411522">
        <w:rPr>
          <w:rFonts w:ascii="宋体" w:hAnsi="宋体" w:hint="eastAsia"/>
          <w:sz w:val="28"/>
          <w:szCs w:val="28"/>
        </w:rPr>
        <w:t>5</w:t>
      </w:r>
      <w:r w:rsidR="001D3991" w:rsidRPr="002C5D67">
        <w:rPr>
          <w:rFonts w:ascii="宋体" w:hAnsi="宋体" w:hint="eastAsia"/>
          <w:sz w:val="28"/>
          <w:szCs w:val="28"/>
        </w:rPr>
        <w:t>%，</w:t>
      </w:r>
      <w:r w:rsidR="00F85B6F">
        <w:rPr>
          <w:rFonts w:ascii="宋体" w:hAnsi="宋体" w:hint="eastAsia"/>
          <w:sz w:val="28"/>
          <w:szCs w:val="28"/>
        </w:rPr>
        <w:t>高于</w:t>
      </w:r>
      <w:r w:rsidR="001D3991" w:rsidRPr="002C5D67">
        <w:rPr>
          <w:rFonts w:ascii="宋体" w:hAnsi="宋体" w:hint="eastAsia"/>
          <w:sz w:val="28"/>
          <w:szCs w:val="28"/>
        </w:rPr>
        <w:t>行业职工总数增长率，占行业职工总数的</w:t>
      </w:r>
      <w:r w:rsidR="00F85B6F">
        <w:rPr>
          <w:rFonts w:ascii="宋体" w:hAnsi="宋体" w:hint="eastAsia"/>
          <w:sz w:val="28"/>
          <w:szCs w:val="28"/>
        </w:rPr>
        <w:t>83</w:t>
      </w:r>
      <w:r w:rsidR="001D3991" w:rsidRPr="002C5D67">
        <w:rPr>
          <w:rFonts w:ascii="宋体" w:hAnsi="宋体" w:hint="eastAsia"/>
          <w:sz w:val="28"/>
          <w:szCs w:val="28"/>
        </w:rPr>
        <w:t>%。</w:t>
      </w:r>
      <w:r w:rsidRPr="002C5D67">
        <w:rPr>
          <w:rFonts w:ascii="宋体" w:hAnsi="宋体" w:hint="eastAsia"/>
          <w:sz w:val="28"/>
          <w:szCs w:val="28"/>
        </w:rPr>
        <w:t>其中：中电工程</w:t>
      </w:r>
      <w:r w:rsidR="00F85B6F">
        <w:rPr>
          <w:rFonts w:ascii="宋体" w:hAnsi="宋体" w:hint="eastAsia"/>
          <w:sz w:val="28"/>
          <w:szCs w:val="28"/>
        </w:rPr>
        <w:t>7280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F85B6F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%；中能建</w:t>
      </w:r>
      <w:r w:rsidR="00F85B6F">
        <w:rPr>
          <w:rFonts w:ascii="宋体" w:hAnsi="宋体" w:hint="eastAsia"/>
          <w:sz w:val="28"/>
          <w:szCs w:val="28"/>
        </w:rPr>
        <w:t>8156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F85B6F">
        <w:rPr>
          <w:rFonts w:ascii="宋体" w:hAnsi="宋体" w:hint="eastAsia"/>
          <w:sz w:val="28"/>
          <w:szCs w:val="28"/>
        </w:rPr>
        <w:t>30</w:t>
      </w:r>
      <w:r w:rsidRPr="002C5D67">
        <w:rPr>
          <w:rFonts w:ascii="宋体" w:hAnsi="宋体" w:hint="eastAsia"/>
          <w:sz w:val="28"/>
          <w:szCs w:val="28"/>
        </w:rPr>
        <w:t>%；中电建</w:t>
      </w:r>
      <w:r w:rsidR="00F85B6F">
        <w:rPr>
          <w:rFonts w:ascii="宋体" w:hAnsi="宋体" w:hint="eastAsia"/>
          <w:sz w:val="28"/>
          <w:szCs w:val="28"/>
        </w:rPr>
        <w:t>4126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D42A97" w:rsidRPr="002C5D67">
        <w:rPr>
          <w:rFonts w:ascii="宋体" w:hAnsi="宋体" w:hint="eastAsia"/>
          <w:sz w:val="28"/>
          <w:szCs w:val="28"/>
        </w:rPr>
        <w:t>1</w:t>
      </w:r>
      <w:r w:rsidR="00F85B6F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%，其它</w:t>
      </w:r>
      <w:r w:rsidR="00F85B6F">
        <w:rPr>
          <w:rFonts w:ascii="宋体" w:hAnsi="宋体" w:hint="eastAsia"/>
          <w:sz w:val="28"/>
          <w:szCs w:val="28"/>
        </w:rPr>
        <w:t>8083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F85B6F">
        <w:rPr>
          <w:rFonts w:ascii="宋体" w:hAnsi="宋体" w:hint="eastAsia"/>
          <w:sz w:val="28"/>
          <w:szCs w:val="28"/>
        </w:rPr>
        <w:t>29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194B90" w:rsidRPr="002C5D67" w:rsidRDefault="00F85B6F" w:rsidP="007E0D78">
      <w:pPr>
        <w:ind w:firstLineChars="400" w:firstLine="840"/>
        <w:jc w:val="center"/>
      </w:pPr>
      <w:r w:rsidRPr="00F85B6F">
        <w:rPr>
          <w:noProof/>
        </w:rPr>
        <w:drawing>
          <wp:inline distT="0" distB="0" distL="0" distR="0">
            <wp:extent cx="5162550" cy="2686050"/>
            <wp:effectExtent l="19050" t="0" r="19050" b="0"/>
            <wp:docPr id="11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194B90" w:rsidRPr="002C5D67" w:rsidRDefault="00194B90" w:rsidP="00194B90">
      <w:pPr>
        <w:ind w:rightChars="-297" w:right="-624"/>
      </w:pPr>
    </w:p>
    <w:p w:rsidR="001D3991" w:rsidRPr="002C5D67" w:rsidRDefault="001D3991" w:rsidP="001D3991">
      <w:pPr>
        <w:spacing w:line="360" w:lineRule="auto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生产人员分析</w:t>
      </w:r>
    </w:p>
    <w:p w:rsidR="001D3991" w:rsidRPr="002C5D67" w:rsidRDefault="001D3991" w:rsidP="001D3991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201</w:t>
      </w:r>
      <w:r w:rsidR="00F85B6F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年，年末生产人员总数</w:t>
      </w:r>
      <w:r w:rsidR="00F85B6F">
        <w:rPr>
          <w:rFonts w:ascii="宋体" w:hAnsi="宋体" w:hint="eastAsia"/>
          <w:sz w:val="28"/>
          <w:szCs w:val="28"/>
        </w:rPr>
        <w:t>27270</w:t>
      </w:r>
      <w:r w:rsidRPr="002C5D67">
        <w:rPr>
          <w:rFonts w:ascii="宋体" w:hAnsi="宋体" w:hint="eastAsia"/>
          <w:sz w:val="28"/>
          <w:szCs w:val="28"/>
        </w:rPr>
        <w:t>人，同比增</w:t>
      </w:r>
      <w:r w:rsidR="00D342E2">
        <w:rPr>
          <w:rFonts w:ascii="宋体" w:hAnsi="宋体" w:hint="eastAsia"/>
          <w:sz w:val="28"/>
          <w:szCs w:val="28"/>
        </w:rPr>
        <w:t>长</w:t>
      </w:r>
      <w:r w:rsidR="00F85B6F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%，</w:t>
      </w:r>
      <w:r w:rsidR="00F85B6F">
        <w:rPr>
          <w:rFonts w:ascii="宋体" w:hAnsi="宋体" w:hint="eastAsia"/>
          <w:sz w:val="28"/>
          <w:szCs w:val="28"/>
        </w:rPr>
        <w:t>高于</w:t>
      </w:r>
      <w:r w:rsidRPr="002C5D67">
        <w:rPr>
          <w:rFonts w:ascii="宋体" w:hAnsi="宋体" w:hint="eastAsia"/>
          <w:sz w:val="28"/>
          <w:szCs w:val="28"/>
        </w:rPr>
        <w:t>行业职工总数增长率，占行业职工总数的</w:t>
      </w:r>
      <w:r w:rsidR="00F85B6F">
        <w:rPr>
          <w:rFonts w:ascii="宋体" w:hAnsi="宋体" w:hint="eastAsia"/>
          <w:sz w:val="28"/>
          <w:szCs w:val="28"/>
        </w:rPr>
        <w:t>81</w:t>
      </w:r>
      <w:r w:rsidRPr="002C5D67">
        <w:rPr>
          <w:rFonts w:ascii="宋体" w:hAnsi="宋体" w:hint="eastAsia"/>
          <w:sz w:val="28"/>
          <w:szCs w:val="28"/>
        </w:rPr>
        <w:t>%。其中：中电工程</w:t>
      </w:r>
      <w:r w:rsidR="00F85B6F">
        <w:rPr>
          <w:rFonts w:ascii="宋体" w:hAnsi="宋体" w:hint="eastAsia"/>
          <w:sz w:val="28"/>
          <w:szCs w:val="28"/>
        </w:rPr>
        <w:t>7017</w:t>
      </w:r>
      <w:r w:rsidRPr="002C5D67">
        <w:rPr>
          <w:rFonts w:ascii="宋体" w:hAnsi="宋体" w:hint="eastAsia"/>
          <w:sz w:val="28"/>
          <w:szCs w:val="28"/>
        </w:rPr>
        <w:t>人，占2</w:t>
      </w:r>
      <w:r w:rsidR="00F85B6F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%；中能建</w:t>
      </w:r>
      <w:r w:rsidR="00F85B6F">
        <w:rPr>
          <w:rFonts w:ascii="宋体" w:hAnsi="宋体" w:hint="eastAsia"/>
          <w:sz w:val="28"/>
          <w:szCs w:val="28"/>
        </w:rPr>
        <w:t>7426</w:t>
      </w:r>
      <w:r w:rsidRPr="002C5D67">
        <w:rPr>
          <w:rFonts w:ascii="宋体" w:hAnsi="宋体" w:hint="eastAsia"/>
          <w:sz w:val="28"/>
          <w:szCs w:val="28"/>
        </w:rPr>
        <w:t>人，占27%；中电建</w:t>
      </w:r>
      <w:r w:rsidR="00F85B6F">
        <w:rPr>
          <w:rFonts w:ascii="宋体" w:hAnsi="宋体" w:hint="eastAsia"/>
          <w:sz w:val="28"/>
          <w:szCs w:val="28"/>
        </w:rPr>
        <w:t>4094</w:t>
      </w:r>
      <w:r w:rsidRPr="002C5D67">
        <w:rPr>
          <w:rFonts w:ascii="宋体" w:hAnsi="宋体" w:hint="eastAsia"/>
          <w:sz w:val="28"/>
          <w:szCs w:val="28"/>
        </w:rPr>
        <w:t>人，占1</w:t>
      </w:r>
      <w:r w:rsidR="00F85B6F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%，其它</w:t>
      </w:r>
      <w:r w:rsidR="00F85B6F">
        <w:rPr>
          <w:rFonts w:ascii="宋体" w:hAnsi="宋体" w:hint="eastAsia"/>
          <w:sz w:val="28"/>
          <w:szCs w:val="28"/>
        </w:rPr>
        <w:t>8733</w:t>
      </w:r>
      <w:r w:rsidRPr="002C5D67">
        <w:rPr>
          <w:rFonts w:ascii="宋体" w:hAnsi="宋体" w:hint="eastAsia"/>
          <w:sz w:val="28"/>
          <w:szCs w:val="28"/>
        </w:rPr>
        <w:t>人，占3</w:t>
      </w:r>
      <w:r w:rsidR="00D42A97" w:rsidRPr="002C5D67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194B90" w:rsidRPr="002C5D67" w:rsidRDefault="00F85B6F" w:rsidP="007E0D78">
      <w:pPr>
        <w:ind w:firstLineChars="400" w:firstLine="840"/>
        <w:jc w:val="center"/>
      </w:pPr>
      <w:r w:rsidRPr="00F85B6F">
        <w:rPr>
          <w:noProof/>
        </w:rPr>
        <w:drawing>
          <wp:inline distT="0" distB="0" distL="0" distR="0">
            <wp:extent cx="5200650" cy="2638425"/>
            <wp:effectExtent l="19050" t="0" r="19050" b="0"/>
            <wp:docPr id="20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E87639" w:rsidRPr="002C5D67" w:rsidRDefault="00E87639" w:rsidP="00E87639">
      <w:pPr>
        <w:spacing w:line="360" w:lineRule="auto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注册执业人员</w:t>
      </w:r>
    </w:p>
    <w:p w:rsidR="00E87639" w:rsidRPr="002C5D67" w:rsidRDefault="00E87639" w:rsidP="004828AE">
      <w:pPr>
        <w:spacing w:line="360" w:lineRule="auto"/>
        <w:ind w:rightChars="80" w:right="168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201</w:t>
      </w:r>
      <w:r w:rsidR="00F85B6F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年，年末注册执业人员</w:t>
      </w:r>
      <w:r w:rsidR="00F85B6F">
        <w:rPr>
          <w:rFonts w:ascii="宋体" w:hAnsi="宋体" w:hint="eastAsia"/>
          <w:sz w:val="28"/>
          <w:szCs w:val="28"/>
        </w:rPr>
        <w:t>9378</w:t>
      </w:r>
      <w:r w:rsidRPr="002C5D67">
        <w:rPr>
          <w:rFonts w:ascii="宋体" w:hAnsi="宋体" w:hint="eastAsia"/>
          <w:sz w:val="28"/>
          <w:szCs w:val="28"/>
        </w:rPr>
        <w:t>人次，同比增</w:t>
      </w:r>
      <w:r w:rsidR="00D342E2">
        <w:rPr>
          <w:rFonts w:ascii="宋体" w:hAnsi="宋体" w:hint="eastAsia"/>
          <w:sz w:val="28"/>
          <w:szCs w:val="28"/>
        </w:rPr>
        <w:t>长</w:t>
      </w:r>
      <w:r w:rsidR="00F85B6F">
        <w:rPr>
          <w:rFonts w:ascii="宋体" w:hAnsi="宋体" w:hint="eastAsia"/>
          <w:sz w:val="28"/>
          <w:szCs w:val="28"/>
        </w:rPr>
        <w:t>4</w:t>
      </w:r>
      <w:r w:rsidRPr="002C5D67">
        <w:rPr>
          <w:rFonts w:ascii="宋体" w:hAnsi="宋体" w:hint="eastAsia"/>
          <w:sz w:val="28"/>
          <w:szCs w:val="28"/>
        </w:rPr>
        <w:t>%，</w:t>
      </w:r>
      <w:r w:rsidR="00F85B6F">
        <w:rPr>
          <w:rFonts w:ascii="宋体" w:hAnsi="宋体" w:hint="eastAsia"/>
          <w:sz w:val="28"/>
          <w:szCs w:val="28"/>
        </w:rPr>
        <w:t>高</w:t>
      </w:r>
      <w:r w:rsidRPr="002C5D67">
        <w:rPr>
          <w:rFonts w:ascii="宋体" w:hAnsi="宋体" w:hint="eastAsia"/>
          <w:sz w:val="28"/>
          <w:szCs w:val="28"/>
        </w:rPr>
        <w:t>于行业职工总数增长率，占职工总数的</w:t>
      </w:r>
      <w:r w:rsidR="00F85B6F">
        <w:rPr>
          <w:rFonts w:ascii="宋体" w:hAnsi="宋体" w:hint="eastAsia"/>
          <w:sz w:val="28"/>
          <w:szCs w:val="28"/>
        </w:rPr>
        <w:t>28</w:t>
      </w:r>
      <w:r w:rsidRPr="002C5D67">
        <w:rPr>
          <w:rFonts w:ascii="宋体" w:hAnsi="宋体" w:hint="eastAsia"/>
          <w:sz w:val="28"/>
          <w:szCs w:val="28"/>
        </w:rPr>
        <w:t>%。其中：中电工程</w:t>
      </w:r>
      <w:r w:rsidR="00F85B6F">
        <w:rPr>
          <w:rFonts w:ascii="宋体" w:hAnsi="宋体" w:hint="eastAsia"/>
          <w:sz w:val="28"/>
          <w:szCs w:val="28"/>
        </w:rPr>
        <w:t>2367</w:t>
      </w:r>
      <w:r w:rsidRPr="002C5D67">
        <w:rPr>
          <w:rFonts w:ascii="宋体" w:hAnsi="宋体" w:hint="eastAsia"/>
          <w:sz w:val="28"/>
          <w:szCs w:val="28"/>
        </w:rPr>
        <w:t>人次，占</w:t>
      </w:r>
      <w:r w:rsidR="00D42A97" w:rsidRPr="002C5D67">
        <w:rPr>
          <w:rFonts w:ascii="宋体" w:hAnsi="宋体" w:hint="eastAsia"/>
          <w:sz w:val="28"/>
          <w:szCs w:val="28"/>
        </w:rPr>
        <w:t>25</w:t>
      </w:r>
      <w:r w:rsidRPr="002C5D67">
        <w:rPr>
          <w:rFonts w:ascii="宋体" w:hAnsi="宋体" w:hint="eastAsia"/>
          <w:sz w:val="28"/>
          <w:szCs w:val="28"/>
        </w:rPr>
        <w:t>%；中能建</w:t>
      </w:r>
      <w:r w:rsidR="00F85B6F">
        <w:rPr>
          <w:rFonts w:ascii="宋体" w:hAnsi="宋体" w:hint="eastAsia"/>
          <w:sz w:val="28"/>
          <w:szCs w:val="28"/>
        </w:rPr>
        <w:t>2705</w:t>
      </w:r>
      <w:r w:rsidRPr="002C5D67">
        <w:rPr>
          <w:rFonts w:ascii="宋体" w:hAnsi="宋体" w:hint="eastAsia"/>
          <w:sz w:val="28"/>
          <w:szCs w:val="28"/>
        </w:rPr>
        <w:t>人次，占</w:t>
      </w:r>
      <w:r w:rsidR="00F85B6F">
        <w:rPr>
          <w:rFonts w:ascii="宋体" w:hAnsi="宋体" w:hint="eastAsia"/>
          <w:sz w:val="28"/>
          <w:szCs w:val="28"/>
        </w:rPr>
        <w:t>29</w:t>
      </w:r>
      <w:r w:rsidRPr="002C5D67">
        <w:rPr>
          <w:rFonts w:ascii="宋体" w:hAnsi="宋体" w:hint="eastAsia"/>
          <w:sz w:val="28"/>
          <w:szCs w:val="28"/>
        </w:rPr>
        <w:t>%；中电建</w:t>
      </w:r>
      <w:r w:rsidR="00F85B6F">
        <w:rPr>
          <w:rFonts w:ascii="宋体" w:hAnsi="宋体" w:hint="eastAsia"/>
          <w:sz w:val="28"/>
          <w:szCs w:val="28"/>
        </w:rPr>
        <w:t>1987</w:t>
      </w:r>
      <w:r w:rsidRPr="002C5D67">
        <w:rPr>
          <w:rFonts w:ascii="宋体" w:hAnsi="宋体" w:hint="eastAsia"/>
          <w:sz w:val="28"/>
          <w:szCs w:val="28"/>
        </w:rPr>
        <w:t>人次，占</w:t>
      </w:r>
      <w:r w:rsidR="00F85B6F">
        <w:rPr>
          <w:rFonts w:ascii="宋体" w:hAnsi="宋体" w:hint="eastAsia"/>
          <w:sz w:val="28"/>
          <w:szCs w:val="28"/>
        </w:rPr>
        <w:t>21</w:t>
      </w:r>
      <w:r w:rsidRPr="002C5D67">
        <w:rPr>
          <w:rFonts w:ascii="宋体" w:hAnsi="宋体" w:hint="eastAsia"/>
          <w:sz w:val="28"/>
          <w:szCs w:val="28"/>
        </w:rPr>
        <w:t>%，其它</w:t>
      </w:r>
      <w:r w:rsidR="00F85B6F">
        <w:rPr>
          <w:rFonts w:ascii="宋体" w:hAnsi="宋体" w:hint="eastAsia"/>
          <w:sz w:val="28"/>
          <w:szCs w:val="28"/>
        </w:rPr>
        <w:t>2319</w:t>
      </w:r>
      <w:r w:rsidRPr="002C5D67">
        <w:rPr>
          <w:rFonts w:ascii="宋体" w:hAnsi="宋体" w:hint="eastAsia"/>
          <w:sz w:val="28"/>
          <w:szCs w:val="28"/>
        </w:rPr>
        <w:t>人，占</w:t>
      </w:r>
      <w:r w:rsidR="00F85B6F">
        <w:rPr>
          <w:rFonts w:ascii="宋体" w:hAnsi="宋体" w:hint="eastAsia"/>
          <w:sz w:val="28"/>
          <w:szCs w:val="28"/>
        </w:rPr>
        <w:t>25</w:t>
      </w:r>
      <w:r w:rsidRPr="002C5D67">
        <w:rPr>
          <w:rFonts w:ascii="宋体" w:hAnsi="宋体" w:hint="eastAsia"/>
          <w:sz w:val="28"/>
          <w:szCs w:val="28"/>
        </w:rPr>
        <w:t>%。</w:t>
      </w:r>
    </w:p>
    <w:p w:rsidR="00E87639" w:rsidRPr="002C5D67" w:rsidRDefault="00E87639" w:rsidP="004828AE">
      <w:pPr>
        <w:spacing w:line="360" w:lineRule="auto"/>
        <w:ind w:rightChars="80" w:right="168"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注册执业人员在</w:t>
      </w:r>
      <w:r w:rsidRPr="002C5D67">
        <w:rPr>
          <w:rFonts w:ascii="宋体" w:hAnsi="宋体" w:cs="宋体" w:hint="eastAsia"/>
          <w:kern w:val="0"/>
          <w:sz w:val="28"/>
          <w:szCs w:val="28"/>
        </w:rPr>
        <w:t>集团分类中职工占比平均为</w:t>
      </w:r>
      <w:r w:rsidR="00457C56" w:rsidRPr="002C5D67">
        <w:rPr>
          <w:rFonts w:ascii="宋体" w:hAnsi="宋体" w:cs="宋体" w:hint="eastAsia"/>
          <w:kern w:val="0"/>
          <w:sz w:val="28"/>
          <w:szCs w:val="28"/>
        </w:rPr>
        <w:t>2</w:t>
      </w:r>
      <w:r w:rsidR="00F85B6F">
        <w:rPr>
          <w:rFonts w:ascii="宋体" w:hAnsi="宋体" w:cs="宋体" w:hint="eastAsia"/>
          <w:kern w:val="0"/>
          <w:sz w:val="28"/>
          <w:szCs w:val="28"/>
        </w:rPr>
        <w:t>8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Pr="002C5D67">
        <w:rPr>
          <w:rFonts w:ascii="宋体" w:hAnsi="宋体" w:hint="eastAsia"/>
          <w:sz w:val="28"/>
          <w:szCs w:val="28"/>
        </w:rPr>
        <w:t>，其中：中电工程占</w:t>
      </w:r>
      <w:r w:rsidR="00F85B6F">
        <w:rPr>
          <w:rFonts w:ascii="宋体" w:hAnsi="宋体" w:hint="eastAsia"/>
          <w:sz w:val="28"/>
          <w:szCs w:val="28"/>
        </w:rPr>
        <w:t>28</w:t>
      </w:r>
      <w:r w:rsidRPr="002C5D67">
        <w:rPr>
          <w:rFonts w:ascii="宋体" w:hAnsi="宋体" w:hint="eastAsia"/>
          <w:sz w:val="28"/>
          <w:szCs w:val="28"/>
        </w:rPr>
        <w:t>%，中能建</w:t>
      </w:r>
      <w:r w:rsidR="00F85B6F">
        <w:rPr>
          <w:rFonts w:ascii="宋体" w:hAnsi="宋体" w:hint="eastAsia"/>
          <w:sz w:val="28"/>
          <w:szCs w:val="28"/>
        </w:rPr>
        <w:t>29</w:t>
      </w:r>
      <w:r w:rsidRPr="002C5D67">
        <w:rPr>
          <w:rFonts w:ascii="宋体" w:hAnsi="宋体" w:hint="eastAsia"/>
          <w:sz w:val="28"/>
          <w:szCs w:val="28"/>
        </w:rPr>
        <w:t>%，中电建占</w:t>
      </w:r>
      <w:r w:rsidR="00151185" w:rsidRPr="002C5D67">
        <w:rPr>
          <w:rFonts w:ascii="宋体" w:hAnsi="宋体" w:hint="eastAsia"/>
          <w:sz w:val="28"/>
          <w:szCs w:val="28"/>
        </w:rPr>
        <w:t>3</w:t>
      </w:r>
      <w:r w:rsidR="00F85B6F">
        <w:rPr>
          <w:rFonts w:ascii="宋体" w:hAnsi="宋体" w:hint="eastAsia"/>
          <w:sz w:val="28"/>
          <w:szCs w:val="28"/>
        </w:rPr>
        <w:t>7</w:t>
      </w:r>
      <w:r w:rsidRPr="002C5D67">
        <w:rPr>
          <w:rFonts w:ascii="宋体" w:hAnsi="宋体" w:hint="eastAsia"/>
          <w:sz w:val="28"/>
          <w:szCs w:val="28"/>
        </w:rPr>
        <w:t>%，其它占</w:t>
      </w:r>
      <w:r w:rsidR="00F85B6F">
        <w:rPr>
          <w:rFonts w:ascii="宋体" w:hAnsi="宋体" w:hint="eastAsia"/>
          <w:sz w:val="28"/>
          <w:szCs w:val="28"/>
        </w:rPr>
        <w:t>22</w:t>
      </w:r>
      <w:r w:rsidRPr="002C5D67">
        <w:rPr>
          <w:rFonts w:ascii="宋体" w:hAnsi="宋体" w:hint="eastAsia"/>
          <w:sz w:val="28"/>
          <w:szCs w:val="28"/>
        </w:rPr>
        <w:t>%，中电建占比最高。</w:t>
      </w:r>
    </w:p>
    <w:p w:rsidR="00E87639" w:rsidRPr="002C5D67" w:rsidRDefault="00E87639" w:rsidP="00E8763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>注册执业人员较上年同比增</w:t>
      </w:r>
      <w:r w:rsidR="00D342E2">
        <w:rPr>
          <w:rFonts w:ascii="宋体" w:hAnsi="宋体" w:hint="eastAsia"/>
          <w:sz w:val="28"/>
          <w:szCs w:val="28"/>
        </w:rPr>
        <w:t>长</w:t>
      </w:r>
      <w:r w:rsidR="00F85B6F">
        <w:rPr>
          <w:rFonts w:ascii="宋体" w:hAnsi="宋体" w:hint="eastAsia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Pr="002C5D67">
        <w:rPr>
          <w:rFonts w:ascii="宋体" w:hAnsi="宋体" w:hint="eastAsia"/>
          <w:sz w:val="28"/>
          <w:szCs w:val="28"/>
        </w:rPr>
        <w:t>，其中：中电工程增</w:t>
      </w:r>
      <w:r w:rsidR="00D342E2">
        <w:rPr>
          <w:rFonts w:ascii="宋体" w:hAnsi="宋体" w:hint="eastAsia"/>
          <w:sz w:val="28"/>
          <w:szCs w:val="28"/>
        </w:rPr>
        <w:t>长</w:t>
      </w:r>
      <w:r w:rsidR="00F85B6F">
        <w:rPr>
          <w:rFonts w:ascii="宋体" w:hAnsi="宋体" w:hint="eastAsia"/>
          <w:sz w:val="28"/>
          <w:szCs w:val="28"/>
        </w:rPr>
        <w:t>7</w:t>
      </w:r>
      <w:r w:rsidRPr="002C5D67">
        <w:rPr>
          <w:rFonts w:ascii="宋体" w:hAnsi="宋体" w:hint="eastAsia"/>
          <w:sz w:val="28"/>
          <w:szCs w:val="28"/>
        </w:rPr>
        <w:t>%，中能建增</w:t>
      </w:r>
      <w:r w:rsidR="00D342E2">
        <w:rPr>
          <w:rFonts w:ascii="宋体" w:hAnsi="宋体" w:hint="eastAsia"/>
          <w:sz w:val="28"/>
          <w:szCs w:val="28"/>
        </w:rPr>
        <w:t>长</w:t>
      </w:r>
      <w:r w:rsidR="00151185" w:rsidRPr="002C5D67">
        <w:rPr>
          <w:rFonts w:ascii="宋体" w:hAnsi="宋体" w:hint="eastAsia"/>
          <w:sz w:val="28"/>
          <w:szCs w:val="28"/>
        </w:rPr>
        <w:t>1</w:t>
      </w:r>
      <w:r w:rsidRPr="002C5D67">
        <w:rPr>
          <w:rFonts w:ascii="宋体" w:hAnsi="宋体" w:hint="eastAsia"/>
          <w:sz w:val="28"/>
          <w:szCs w:val="28"/>
        </w:rPr>
        <w:t>%，中电建</w:t>
      </w:r>
      <w:r w:rsidR="00F85B6F">
        <w:rPr>
          <w:rFonts w:ascii="宋体" w:hAnsi="宋体" w:hint="eastAsia"/>
          <w:sz w:val="28"/>
          <w:szCs w:val="28"/>
        </w:rPr>
        <w:t>增</w:t>
      </w:r>
      <w:r w:rsidR="00D342E2">
        <w:rPr>
          <w:rFonts w:ascii="宋体" w:hAnsi="宋体" w:hint="eastAsia"/>
          <w:sz w:val="28"/>
          <w:szCs w:val="28"/>
        </w:rPr>
        <w:t>长</w:t>
      </w:r>
      <w:r w:rsidR="00F85B6F">
        <w:rPr>
          <w:rFonts w:ascii="宋体" w:hAnsi="宋体" w:hint="eastAsia"/>
          <w:sz w:val="28"/>
          <w:szCs w:val="28"/>
        </w:rPr>
        <w:t>14</w:t>
      </w:r>
      <w:r w:rsidRPr="002C5D67">
        <w:rPr>
          <w:rFonts w:ascii="宋体" w:hAnsi="宋体" w:hint="eastAsia"/>
          <w:sz w:val="28"/>
          <w:szCs w:val="28"/>
        </w:rPr>
        <w:t>%，其它</w:t>
      </w:r>
      <w:r w:rsidR="00151185" w:rsidRPr="002C5D67">
        <w:rPr>
          <w:rFonts w:ascii="宋体" w:hAnsi="宋体" w:hint="eastAsia"/>
          <w:sz w:val="28"/>
          <w:szCs w:val="28"/>
        </w:rPr>
        <w:t>减少</w:t>
      </w:r>
      <w:r w:rsidR="00F85B6F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%，中</w:t>
      </w:r>
      <w:r w:rsidR="00F85B6F">
        <w:rPr>
          <w:rFonts w:ascii="宋体" w:hAnsi="宋体" w:hint="eastAsia"/>
          <w:sz w:val="28"/>
          <w:szCs w:val="28"/>
        </w:rPr>
        <w:t>电</w:t>
      </w:r>
      <w:r w:rsidRPr="002C5D67">
        <w:rPr>
          <w:rFonts w:ascii="宋体" w:hAnsi="宋体" w:hint="eastAsia"/>
          <w:sz w:val="28"/>
          <w:szCs w:val="28"/>
        </w:rPr>
        <w:t>建增幅最大。</w:t>
      </w:r>
    </w:p>
    <w:p w:rsidR="001D3991" w:rsidRPr="002C5D67" w:rsidRDefault="00F85B6F" w:rsidP="00F85B6F">
      <w:pPr>
        <w:ind w:firstLineChars="300" w:firstLine="630"/>
      </w:pPr>
      <w:r w:rsidRPr="00F85B6F">
        <w:rPr>
          <w:noProof/>
        </w:rPr>
        <w:drawing>
          <wp:inline distT="0" distB="0" distL="0" distR="0">
            <wp:extent cx="5162550" cy="2762250"/>
            <wp:effectExtent l="19050" t="0" r="19050" b="0"/>
            <wp:docPr id="21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4828AE" w:rsidRPr="002C5D67" w:rsidRDefault="004828AE" w:rsidP="00C15F2D"/>
    <w:p w:rsidR="004828AE" w:rsidRPr="002C5D67" w:rsidRDefault="004828AE" w:rsidP="00C15F2D">
      <w:pPr>
        <w:sectPr w:rsidR="004828AE" w:rsidRPr="002C5D67" w:rsidSect="00194B90">
          <w:pgSz w:w="11906" w:h="16838"/>
          <w:pgMar w:top="1418" w:right="851" w:bottom="1077" w:left="964" w:header="851" w:footer="992" w:gutter="0"/>
          <w:cols w:space="425"/>
          <w:docGrid w:type="lines" w:linePitch="312"/>
        </w:sectPr>
      </w:pPr>
    </w:p>
    <w:p w:rsidR="004828AE" w:rsidRPr="002E360D" w:rsidRDefault="004828AE" w:rsidP="004828AE">
      <w:pPr>
        <w:numPr>
          <w:ilvl w:val="1"/>
          <w:numId w:val="9"/>
        </w:num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专业技术人员职称构成分析</w:t>
      </w:r>
    </w:p>
    <w:p w:rsidR="004828AE" w:rsidRPr="002C5D67" w:rsidRDefault="004828AE" w:rsidP="004828AE">
      <w:pPr>
        <w:spacing w:line="360" w:lineRule="auto"/>
        <w:ind w:left="420"/>
        <w:jc w:val="center"/>
        <w:rPr>
          <w:rFonts w:ascii="宋体" w:hAnsi="宋体" w:cs="宋体"/>
          <w:b/>
          <w:kern w:val="0"/>
          <w:sz w:val="28"/>
          <w:szCs w:val="28"/>
        </w:rPr>
      </w:pPr>
      <w:r w:rsidRPr="002C5D67">
        <w:rPr>
          <w:rFonts w:ascii="宋体" w:hAnsi="宋体" w:cs="宋体" w:hint="eastAsia"/>
          <w:b/>
          <w:kern w:val="0"/>
          <w:sz w:val="28"/>
          <w:szCs w:val="28"/>
        </w:rPr>
        <w:t>201</w:t>
      </w:r>
      <w:r w:rsidR="008E5A46">
        <w:rPr>
          <w:rFonts w:ascii="宋体" w:hAnsi="宋体" w:cs="宋体" w:hint="eastAsia"/>
          <w:b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b/>
          <w:kern w:val="0"/>
          <w:sz w:val="28"/>
          <w:szCs w:val="28"/>
        </w:rPr>
        <w:t>年专业技术人员职称构成分析</w:t>
      </w:r>
    </w:p>
    <w:tbl>
      <w:tblPr>
        <w:tblW w:w="4914" w:type="pct"/>
        <w:jc w:val="center"/>
        <w:tblInd w:w="250" w:type="dxa"/>
        <w:tblLook w:val="04A0"/>
      </w:tblPr>
      <w:tblGrid>
        <w:gridCol w:w="423"/>
        <w:gridCol w:w="1012"/>
        <w:gridCol w:w="666"/>
        <w:gridCol w:w="643"/>
        <w:gridCol w:w="640"/>
        <w:gridCol w:w="576"/>
        <w:gridCol w:w="638"/>
        <w:gridCol w:w="774"/>
        <w:gridCol w:w="638"/>
        <w:gridCol w:w="677"/>
        <w:gridCol w:w="677"/>
        <w:gridCol w:w="760"/>
        <w:gridCol w:w="638"/>
        <w:gridCol w:w="666"/>
        <w:gridCol w:w="638"/>
        <w:gridCol w:w="786"/>
        <w:gridCol w:w="638"/>
        <w:gridCol w:w="669"/>
        <w:gridCol w:w="677"/>
        <w:gridCol w:w="777"/>
        <w:gridCol w:w="618"/>
      </w:tblGrid>
      <w:tr w:rsidR="004828AE" w:rsidRPr="002C5D67" w:rsidTr="007E0D78">
        <w:trPr>
          <w:trHeight w:val="402"/>
          <w:jc w:val="center"/>
        </w:trPr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专业技术人员</w:t>
            </w:r>
          </w:p>
        </w:tc>
        <w:tc>
          <w:tcPr>
            <w:tcW w:w="9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教授级高工</w:t>
            </w:r>
          </w:p>
        </w:tc>
        <w:tc>
          <w:tcPr>
            <w:tcW w:w="9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高级职称</w:t>
            </w:r>
          </w:p>
        </w:tc>
        <w:tc>
          <w:tcPr>
            <w:tcW w:w="9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中级职称</w:t>
            </w:r>
          </w:p>
        </w:tc>
        <w:tc>
          <w:tcPr>
            <w:tcW w:w="9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初级职称</w:t>
            </w:r>
          </w:p>
        </w:tc>
      </w:tr>
      <w:tr w:rsidR="007E0D78" w:rsidRPr="002C5D67" w:rsidTr="007E0D78">
        <w:trPr>
          <w:trHeight w:val="600"/>
          <w:jc w:val="center"/>
        </w:trPr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8AE" w:rsidRPr="002C5D67" w:rsidRDefault="004828AE" w:rsidP="004828AE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28AE" w:rsidRPr="002C5D67" w:rsidRDefault="004828AE" w:rsidP="004828AE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占专业技术人员%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8AE" w:rsidRPr="002C5D67" w:rsidRDefault="004828AE" w:rsidP="004828A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E0D78" w:rsidRPr="002C5D67" w:rsidTr="007E0D78">
        <w:trPr>
          <w:trHeight w:val="40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27645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1942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7%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118%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10340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10372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38%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102%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4991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</w:tr>
      <w:tr w:rsidR="007E0D78" w:rsidRPr="002C5D67" w:rsidTr="007E0D78">
        <w:trPr>
          <w:trHeight w:val="40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7280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968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50%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13%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3333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46%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107%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2120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93%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859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81%</w:t>
            </w:r>
          </w:p>
        </w:tc>
      </w:tr>
      <w:tr w:rsidR="007E0D78" w:rsidRPr="002C5D67" w:rsidTr="007E0D78">
        <w:trPr>
          <w:trHeight w:val="40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8156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30%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365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143%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3251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40%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120%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2965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36%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1575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122%</w:t>
            </w:r>
          </w:p>
        </w:tc>
      </w:tr>
      <w:tr w:rsidR="007E0D78" w:rsidRPr="002C5D67" w:rsidTr="007E0D78">
        <w:trPr>
          <w:trHeight w:val="40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4126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424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134%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1553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38%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103%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1523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102%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626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13%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</w:tr>
      <w:tr w:rsidR="007E0D78" w:rsidRPr="002C5D67" w:rsidTr="007E0D78">
        <w:trPr>
          <w:trHeight w:val="402"/>
          <w:jc w:val="center"/>
        </w:trPr>
        <w:tc>
          <w:tcPr>
            <w:tcW w:w="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4828AE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8083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185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98%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2203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21%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101%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3764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36%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47%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103%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1931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39%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</w:tr>
    </w:tbl>
    <w:p w:rsidR="004828AE" w:rsidRPr="002C5D67" w:rsidRDefault="004828AE" w:rsidP="00C15F2D"/>
    <w:p w:rsidR="00E75646" w:rsidRPr="002C5D67" w:rsidRDefault="00E75646" w:rsidP="00E75646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201</w:t>
      </w:r>
      <w:r w:rsidR="00B125DC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年，专业技术人员共</w:t>
      </w:r>
      <w:r w:rsidR="00B125DC">
        <w:rPr>
          <w:rFonts w:ascii="宋体" w:hAnsi="宋体" w:cs="宋体" w:hint="eastAsia"/>
          <w:kern w:val="0"/>
          <w:sz w:val="28"/>
          <w:szCs w:val="28"/>
        </w:rPr>
        <w:t>27645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</w:t>
      </w:r>
      <w:r w:rsidRPr="002C5D67">
        <w:rPr>
          <w:rFonts w:ascii="宋体" w:hAnsi="宋体" w:hint="eastAsia"/>
          <w:sz w:val="28"/>
          <w:szCs w:val="28"/>
        </w:rPr>
        <w:t>，同比增</w:t>
      </w:r>
      <w:r w:rsidR="00D342E2">
        <w:rPr>
          <w:rFonts w:ascii="宋体" w:hAnsi="宋体" w:hint="eastAsia"/>
          <w:sz w:val="28"/>
          <w:szCs w:val="28"/>
        </w:rPr>
        <w:t>长</w:t>
      </w:r>
      <w:r w:rsidR="00B125DC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E75646" w:rsidRPr="002C5D67" w:rsidRDefault="00E75646" w:rsidP="00E75646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其中：教授级高工</w:t>
      </w:r>
      <w:r w:rsidR="00B125DC">
        <w:rPr>
          <w:rFonts w:ascii="宋体" w:hAnsi="宋体" w:cs="宋体" w:hint="eastAsia"/>
          <w:kern w:val="0"/>
          <w:sz w:val="28"/>
          <w:szCs w:val="28"/>
        </w:rPr>
        <w:t>1942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B125DC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</w:t>
      </w:r>
      <w:r w:rsidR="00B125DC">
        <w:rPr>
          <w:rFonts w:ascii="宋体" w:hAnsi="宋体" w:cs="宋体" w:hint="eastAsia"/>
          <w:kern w:val="0"/>
          <w:sz w:val="28"/>
          <w:szCs w:val="28"/>
        </w:rPr>
        <w:t>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：中电工程占</w:t>
      </w:r>
      <w:r w:rsidR="00B125DC">
        <w:rPr>
          <w:rFonts w:ascii="宋体" w:hAnsi="宋体" w:cs="宋体" w:hint="eastAsia"/>
          <w:kern w:val="0"/>
          <w:sz w:val="28"/>
          <w:szCs w:val="28"/>
        </w:rPr>
        <w:t>13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="00D462C1" w:rsidRPr="002C5D67">
        <w:rPr>
          <w:rFonts w:ascii="宋体" w:hAnsi="宋体" w:cs="宋体" w:hint="eastAsia"/>
          <w:kern w:val="0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%、中电建</w:t>
      </w:r>
      <w:r w:rsidR="00B125DC">
        <w:rPr>
          <w:rFonts w:ascii="宋体" w:hAnsi="宋体" w:cs="宋体" w:hint="eastAsia"/>
          <w:kern w:val="0"/>
          <w:sz w:val="28"/>
          <w:szCs w:val="28"/>
        </w:rPr>
        <w:t>10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%、其它2%，中电工程占比最高；</w:t>
      </w:r>
    </w:p>
    <w:p w:rsidR="00E75646" w:rsidRPr="002C5D67" w:rsidRDefault="00E75646" w:rsidP="00E75646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高级职称</w:t>
      </w:r>
      <w:r w:rsidR="00B125DC">
        <w:rPr>
          <w:rFonts w:ascii="宋体" w:hAnsi="宋体" w:cs="宋体" w:hint="eastAsia"/>
          <w:kern w:val="0"/>
          <w:sz w:val="28"/>
          <w:szCs w:val="28"/>
        </w:rPr>
        <w:t>10340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B125DC">
        <w:rPr>
          <w:rFonts w:ascii="宋体" w:hAnsi="宋体" w:cs="宋体" w:hint="eastAsia"/>
          <w:kern w:val="0"/>
          <w:sz w:val="28"/>
          <w:szCs w:val="28"/>
        </w:rPr>
        <w:t>9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%，占技术人员比率为</w:t>
      </w:r>
      <w:r w:rsidR="00B125DC">
        <w:rPr>
          <w:rFonts w:ascii="宋体" w:hAnsi="宋体" w:cs="宋体" w:hint="eastAsia"/>
          <w:kern w:val="0"/>
          <w:sz w:val="28"/>
          <w:szCs w:val="28"/>
        </w:rPr>
        <w:t>37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中电工程占4</w:t>
      </w:r>
      <w:r w:rsidR="00B125DC">
        <w:rPr>
          <w:rFonts w:ascii="宋体" w:hAnsi="宋体" w:cs="宋体" w:hint="eastAsia"/>
          <w:kern w:val="0"/>
          <w:sz w:val="28"/>
          <w:szCs w:val="28"/>
        </w:rPr>
        <w:t>6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="00B125DC">
        <w:rPr>
          <w:rFonts w:ascii="宋体" w:hAnsi="宋体" w:cs="宋体" w:hint="eastAsia"/>
          <w:kern w:val="0"/>
          <w:sz w:val="28"/>
          <w:szCs w:val="28"/>
        </w:rPr>
        <w:t>40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%、中电建</w:t>
      </w:r>
      <w:r w:rsidR="00B125DC">
        <w:rPr>
          <w:rFonts w:ascii="宋体" w:hAnsi="宋体" w:cs="宋体" w:hint="eastAsia"/>
          <w:kern w:val="0"/>
          <w:sz w:val="28"/>
          <w:szCs w:val="28"/>
        </w:rPr>
        <w:t>38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%、其它27%，中电工程占比最高；</w:t>
      </w:r>
    </w:p>
    <w:p w:rsidR="00E75646" w:rsidRPr="002C5D67" w:rsidRDefault="00E75646" w:rsidP="00A86A9E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lastRenderedPageBreak/>
        <w:t>中级职称</w:t>
      </w:r>
      <w:r w:rsidR="00B125DC">
        <w:rPr>
          <w:rFonts w:ascii="宋体" w:hAnsi="宋体" w:cs="宋体" w:hint="eastAsia"/>
          <w:kern w:val="0"/>
          <w:sz w:val="28"/>
          <w:szCs w:val="28"/>
        </w:rPr>
        <w:t>10372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2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%，占技术人员比率为</w:t>
      </w:r>
      <w:r w:rsidR="00D462C1" w:rsidRPr="002C5D67">
        <w:rPr>
          <w:rFonts w:ascii="宋体" w:hAnsi="宋体" w:cs="宋体" w:hint="eastAsia"/>
          <w:kern w:val="0"/>
          <w:sz w:val="28"/>
          <w:szCs w:val="28"/>
        </w:rPr>
        <w:t>38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中电工程占</w:t>
      </w:r>
      <w:r w:rsidR="00B125DC">
        <w:rPr>
          <w:rFonts w:ascii="宋体" w:hAnsi="宋体" w:cs="宋体" w:hint="eastAsia"/>
          <w:kern w:val="0"/>
          <w:sz w:val="28"/>
          <w:szCs w:val="28"/>
        </w:rPr>
        <w:t>29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="00D462C1" w:rsidRPr="002C5D67">
        <w:rPr>
          <w:rFonts w:ascii="宋体" w:hAnsi="宋体" w:cs="宋体" w:hint="eastAsia"/>
          <w:kern w:val="0"/>
          <w:sz w:val="28"/>
          <w:szCs w:val="28"/>
        </w:rPr>
        <w:t>3</w:t>
      </w:r>
      <w:r w:rsidR="00B125DC">
        <w:rPr>
          <w:rFonts w:ascii="宋体" w:hAnsi="宋体" w:cs="宋体" w:hint="eastAsia"/>
          <w:kern w:val="0"/>
          <w:sz w:val="28"/>
          <w:szCs w:val="28"/>
        </w:rPr>
        <w:t>6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%、中电建3</w:t>
      </w:r>
      <w:r w:rsidR="00B125DC">
        <w:rPr>
          <w:rFonts w:ascii="宋体" w:hAnsi="宋体" w:cs="宋体" w:hint="eastAsia"/>
          <w:kern w:val="0"/>
          <w:sz w:val="28"/>
          <w:szCs w:val="28"/>
        </w:rPr>
        <w:t>7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%、其它4</w:t>
      </w:r>
      <w:r w:rsidR="00B125DC">
        <w:rPr>
          <w:rFonts w:ascii="宋体" w:hAnsi="宋体" w:cs="宋体" w:hint="eastAsia"/>
          <w:kern w:val="0"/>
          <w:sz w:val="28"/>
          <w:szCs w:val="28"/>
        </w:rPr>
        <w:t>7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%，其它占比最高；</w:t>
      </w:r>
      <w:r w:rsidR="00A86A9E" w:rsidRPr="002C5D67">
        <w:rPr>
          <w:rFonts w:ascii="宋体" w:hAnsi="宋体" w:cs="宋体"/>
          <w:kern w:val="0"/>
          <w:sz w:val="28"/>
          <w:szCs w:val="28"/>
        </w:rPr>
        <w:t xml:space="preserve"> </w:t>
      </w:r>
    </w:p>
    <w:p w:rsidR="00E75646" w:rsidRPr="002C5D67" w:rsidRDefault="00E75646" w:rsidP="00E75646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初级职称</w:t>
      </w:r>
      <w:r w:rsidR="00B125DC">
        <w:rPr>
          <w:rFonts w:ascii="宋体" w:hAnsi="宋体" w:cs="宋体" w:hint="eastAsia"/>
          <w:kern w:val="0"/>
          <w:sz w:val="28"/>
          <w:szCs w:val="28"/>
        </w:rPr>
        <w:t>4991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略有减少</w:t>
      </w:r>
      <w:r w:rsidRPr="002C5D67">
        <w:rPr>
          <w:rFonts w:ascii="宋体" w:hAnsi="宋体" w:cs="宋体" w:hint="eastAsia"/>
          <w:kern w:val="0"/>
          <w:sz w:val="28"/>
          <w:szCs w:val="28"/>
        </w:rPr>
        <w:t>，占技术人员比率为</w:t>
      </w:r>
      <w:r w:rsidR="00B125DC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590B7B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：中电工程占</w:t>
      </w:r>
      <w:r w:rsidR="00B125DC">
        <w:rPr>
          <w:rFonts w:ascii="宋体" w:hAnsi="宋体" w:cs="宋体" w:hint="eastAsia"/>
          <w:kern w:val="0"/>
          <w:sz w:val="28"/>
          <w:szCs w:val="28"/>
        </w:rPr>
        <w:t>12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%、中能建占19%、中电建</w:t>
      </w:r>
      <w:r w:rsidR="00D462C1" w:rsidRPr="002C5D67">
        <w:rPr>
          <w:rFonts w:ascii="宋体" w:hAnsi="宋体" w:cs="宋体" w:hint="eastAsia"/>
          <w:kern w:val="0"/>
          <w:sz w:val="28"/>
          <w:szCs w:val="28"/>
        </w:rPr>
        <w:t>15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%、其它</w:t>
      </w:r>
      <w:r w:rsidR="00B125DC">
        <w:rPr>
          <w:rFonts w:ascii="宋体" w:hAnsi="宋体" w:cs="宋体" w:hint="eastAsia"/>
          <w:kern w:val="0"/>
          <w:sz w:val="28"/>
          <w:szCs w:val="28"/>
        </w:rPr>
        <w:t>24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%，其它占比最高</w:t>
      </w:r>
      <w:r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E75646" w:rsidRPr="002C5D67" w:rsidRDefault="00E75646" w:rsidP="00E75646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总体表现为：</w:t>
      </w:r>
      <w:r w:rsidR="00A86A9E" w:rsidRPr="002C5D67">
        <w:rPr>
          <w:rFonts w:ascii="宋体" w:hAnsi="宋体" w:cs="宋体" w:hint="eastAsia"/>
          <w:kern w:val="0"/>
          <w:sz w:val="28"/>
          <w:szCs w:val="28"/>
        </w:rPr>
        <w:t>中电工程</w:t>
      </w:r>
      <w:r w:rsidRPr="002C5D67">
        <w:rPr>
          <w:rFonts w:ascii="宋体" w:hAnsi="宋体" w:cs="宋体" w:hint="eastAsia"/>
          <w:kern w:val="0"/>
          <w:sz w:val="28"/>
          <w:szCs w:val="28"/>
        </w:rPr>
        <w:t>所拥有的教高及高级职称技术人员所占比重均</w:t>
      </w:r>
      <w:r w:rsidR="00B43E23" w:rsidRPr="002C5D67">
        <w:rPr>
          <w:rFonts w:ascii="宋体" w:hAnsi="宋体" w:cs="宋体" w:hint="eastAsia"/>
          <w:kern w:val="0"/>
          <w:sz w:val="28"/>
          <w:szCs w:val="28"/>
        </w:rPr>
        <w:t>最高</w:t>
      </w:r>
      <w:r w:rsidRPr="002C5D67">
        <w:rPr>
          <w:rFonts w:ascii="宋体" w:hAnsi="宋体" w:cs="宋体" w:hint="eastAsia"/>
          <w:kern w:val="0"/>
          <w:sz w:val="28"/>
          <w:szCs w:val="28"/>
        </w:rPr>
        <w:t>，高级技术人才具有绝对优势</w:t>
      </w:r>
      <w:r w:rsidRPr="002C5D67">
        <w:rPr>
          <w:rFonts w:ascii="宋体" w:hAnsi="宋体" w:cs="宋体" w:hint="eastAsia"/>
          <w:color w:val="000000"/>
          <w:kern w:val="0"/>
          <w:sz w:val="28"/>
          <w:szCs w:val="28"/>
        </w:rPr>
        <w:t>。</w:t>
      </w:r>
    </w:p>
    <w:p w:rsidR="00A86A9E" w:rsidRPr="002C5D67" w:rsidRDefault="00A86A9E" w:rsidP="00E75646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</w:pPr>
    </w:p>
    <w:p w:rsidR="007349FB" w:rsidRPr="002C5D67" w:rsidRDefault="007349FB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2C5D67">
        <w:rPr>
          <w:rFonts w:ascii="宋体" w:hAnsi="宋体" w:cs="宋体"/>
          <w:color w:val="000000"/>
          <w:kern w:val="0"/>
          <w:sz w:val="28"/>
          <w:szCs w:val="28"/>
        </w:rPr>
        <w:br w:type="page"/>
      </w:r>
    </w:p>
    <w:p w:rsidR="007349FB" w:rsidRPr="002C5D67" w:rsidRDefault="007349FB" w:rsidP="00E75646">
      <w:pPr>
        <w:spacing w:line="360" w:lineRule="auto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</w:rPr>
        <w:sectPr w:rsidR="007349FB" w:rsidRPr="002C5D67" w:rsidSect="00C15F2D">
          <w:pgSz w:w="16838" w:h="11906" w:orient="landscape"/>
          <w:pgMar w:top="1797" w:right="1134" w:bottom="1797" w:left="1440" w:header="851" w:footer="992" w:gutter="0"/>
          <w:cols w:space="425"/>
          <w:docGrid w:type="lines" w:linePitch="312"/>
        </w:sectPr>
      </w:pPr>
    </w:p>
    <w:p w:rsidR="00A86A9E" w:rsidRPr="002C5D67" w:rsidRDefault="00B125DC" w:rsidP="00B125DC">
      <w:pPr>
        <w:spacing w:line="360" w:lineRule="auto"/>
        <w:ind w:firstLineChars="150" w:firstLine="420"/>
        <w:rPr>
          <w:rFonts w:ascii="宋体" w:hAnsi="宋体" w:cs="宋体"/>
          <w:color w:val="000000"/>
          <w:kern w:val="0"/>
          <w:sz w:val="28"/>
          <w:szCs w:val="28"/>
        </w:rPr>
      </w:pPr>
      <w:r w:rsidRPr="00B125DC">
        <w:rPr>
          <w:rFonts w:ascii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486400" cy="3217545"/>
            <wp:effectExtent l="19050" t="0" r="19050" b="1905"/>
            <wp:docPr id="2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6B65B4" w:rsidRDefault="00B125DC" w:rsidP="00B125DC">
      <w:pPr>
        <w:spacing w:line="360" w:lineRule="auto"/>
        <w:ind w:firstLineChars="150" w:firstLine="420"/>
        <w:rPr>
          <w:rFonts w:ascii="宋体" w:hAnsi="宋体" w:cs="宋体"/>
          <w:kern w:val="0"/>
          <w:sz w:val="28"/>
          <w:szCs w:val="28"/>
        </w:rPr>
      </w:pPr>
      <w:r w:rsidRPr="00B125DC">
        <w:rPr>
          <w:rFonts w:ascii="宋体" w:hAnsi="宋体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486400" cy="2496820"/>
            <wp:effectExtent l="19050" t="0" r="19050" b="0"/>
            <wp:docPr id="32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B125DC" w:rsidRPr="002C5D67" w:rsidRDefault="00B125DC" w:rsidP="00B125DC">
      <w:pPr>
        <w:spacing w:line="360" w:lineRule="auto"/>
        <w:ind w:firstLineChars="150" w:firstLine="420"/>
        <w:rPr>
          <w:rFonts w:ascii="宋体" w:hAnsi="宋体" w:cs="宋体"/>
          <w:kern w:val="0"/>
          <w:sz w:val="28"/>
          <w:szCs w:val="28"/>
        </w:rPr>
        <w:sectPr w:rsidR="00B125DC" w:rsidRPr="002C5D67" w:rsidSect="00DF5A0E">
          <w:pgSz w:w="11906" w:h="16838"/>
          <w:pgMar w:top="993" w:right="1134" w:bottom="709" w:left="1134" w:header="851" w:footer="992" w:gutter="0"/>
          <w:cols w:space="425"/>
          <w:docGrid w:type="lines" w:linePitch="312"/>
        </w:sectPr>
      </w:pPr>
      <w:r w:rsidRPr="00B125DC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486400" cy="2980690"/>
            <wp:effectExtent l="19050" t="0" r="19050" b="0"/>
            <wp:docPr id="30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7D212F" w:rsidRPr="002E360D" w:rsidRDefault="007D212F" w:rsidP="007D212F">
      <w:pPr>
        <w:numPr>
          <w:ilvl w:val="1"/>
          <w:numId w:val="9"/>
        </w:num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注册执业人员构成分析</w:t>
      </w:r>
    </w:p>
    <w:p w:rsidR="007D212F" w:rsidRPr="002C5D67" w:rsidRDefault="007D212F" w:rsidP="007D212F">
      <w:pPr>
        <w:spacing w:line="500" w:lineRule="exact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cs="宋体" w:hint="eastAsia"/>
          <w:b/>
          <w:kern w:val="0"/>
          <w:sz w:val="28"/>
          <w:szCs w:val="28"/>
        </w:rPr>
        <w:t>201</w:t>
      </w:r>
      <w:r w:rsidR="000F4F8B">
        <w:rPr>
          <w:rFonts w:ascii="宋体" w:hAnsi="宋体" w:cs="宋体" w:hint="eastAsia"/>
          <w:b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Pr="002C5D67">
        <w:rPr>
          <w:rFonts w:ascii="宋体" w:hAnsi="宋体" w:hint="eastAsia"/>
          <w:b/>
          <w:sz w:val="28"/>
          <w:szCs w:val="28"/>
        </w:rPr>
        <w:t>电力勘察设计注册执业人员情况分析</w:t>
      </w:r>
    </w:p>
    <w:tbl>
      <w:tblPr>
        <w:tblW w:w="4857" w:type="pct"/>
        <w:jc w:val="center"/>
        <w:tblInd w:w="250" w:type="dxa"/>
        <w:tblLook w:val="04A0"/>
      </w:tblPr>
      <w:tblGrid>
        <w:gridCol w:w="397"/>
        <w:gridCol w:w="1036"/>
        <w:gridCol w:w="850"/>
        <w:gridCol w:w="850"/>
        <w:gridCol w:w="853"/>
        <w:gridCol w:w="850"/>
        <w:gridCol w:w="671"/>
        <w:gridCol w:w="1030"/>
        <w:gridCol w:w="856"/>
        <w:gridCol w:w="850"/>
        <w:gridCol w:w="763"/>
        <w:gridCol w:w="1067"/>
        <w:gridCol w:w="727"/>
        <w:gridCol w:w="640"/>
        <w:gridCol w:w="761"/>
        <w:gridCol w:w="1156"/>
        <w:gridCol w:w="676"/>
      </w:tblGrid>
      <w:tr w:rsidR="007D212F" w:rsidRPr="002C5D67" w:rsidTr="007E0D78">
        <w:trPr>
          <w:trHeight w:val="432"/>
          <w:jc w:val="center"/>
        </w:trPr>
        <w:tc>
          <w:tcPr>
            <w:tcW w:w="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91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注册执业人员</w:t>
            </w:r>
          </w:p>
        </w:tc>
        <w:tc>
          <w:tcPr>
            <w:tcW w:w="12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注册建筑</w:t>
            </w:r>
          </w:p>
        </w:tc>
        <w:tc>
          <w:tcPr>
            <w:tcW w:w="12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注册结构</w:t>
            </w:r>
          </w:p>
        </w:tc>
        <w:tc>
          <w:tcPr>
            <w:tcW w:w="11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注册咨询</w:t>
            </w:r>
          </w:p>
        </w:tc>
      </w:tr>
      <w:tr w:rsidR="007E0D78" w:rsidRPr="002C5D67" w:rsidTr="007E0D78">
        <w:trPr>
          <w:trHeight w:val="693"/>
          <w:jc w:val="center"/>
        </w:trPr>
        <w:tc>
          <w:tcPr>
            <w:tcW w:w="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12F" w:rsidRPr="002C5D67" w:rsidRDefault="007D212F" w:rsidP="007D212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12F" w:rsidRPr="002C5D67" w:rsidRDefault="007D212F" w:rsidP="007D212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9378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353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96%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973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1800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2367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107%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78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261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14%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2705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102%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543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30%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114%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1987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114%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166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116%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347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2319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98%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36%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95%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283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12%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583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96%</w:t>
            </w:r>
          </w:p>
        </w:tc>
      </w:tr>
    </w:tbl>
    <w:p w:rsidR="004828AE" w:rsidRPr="002C5D67" w:rsidRDefault="004828AE" w:rsidP="00C15F2D"/>
    <w:tbl>
      <w:tblPr>
        <w:tblW w:w="4877" w:type="pct"/>
        <w:jc w:val="center"/>
        <w:tblInd w:w="366" w:type="dxa"/>
        <w:tblLayout w:type="fixed"/>
        <w:tblLook w:val="04A0"/>
      </w:tblPr>
      <w:tblGrid>
        <w:gridCol w:w="359"/>
        <w:gridCol w:w="992"/>
        <w:gridCol w:w="707"/>
        <w:gridCol w:w="586"/>
        <w:gridCol w:w="1141"/>
        <w:gridCol w:w="693"/>
        <w:gridCol w:w="761"/>
        <w:gridCol w:w="764"/>
        <w:gridCol w:w="1029"/>
        <w:gridCol w:w="620"/>
        <w:gridCol w:w="789"/>
        <w:gridCol w:w="761"/>
        <w:gridCol w:w="1065"/>
        <w:gridCol w:w="626"/>
        <w:gridCol w:w="755"/>
        <w:gridCol w:w="764"/>
        <w:gridCol w:w="1082"/>
        <w:gridCol w:w="597"/>
      </w:tblGrid>
      <w:tr w:rsidR="007E0D78" w:rsidRPr="002C5D67" w:rsidTr="007E0D78">
        <w:trPr>
          <w:trHeight w:val="473"/>
          <w:jc w:val="center"/>
        </w:trPr>
        <w:tc>
          <w:tcPr>
            <w:tcW w:w="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11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注册岩土</w:t>
            </w:r>
          </w:p>
        </w:tc>
        <w:tc>
          <w:tcPr>
            <w:tcW w:w="11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注册电气</w:t>
            </w:r>
          </w:p>
        </w:tc>
        <w:tc>
          <w:tcPr>
            <w:tcW w:w="115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注册其它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其它注册</w:t>
            </w:r>
          </w:p>
        </w:tc>
      </w:tr>
      <w:tr w:rsidR="007E0D78" w:rsidRPr="002C5D67" w:rsidTr="007E0D78">
        <w:trPr>
          <w:trHeight w:val="706"/>
          <w:jc w:val="center"/>
        </w:trPr>
        <w:tc>
          <w:tcPr>
            <w:tcW w:w="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12F" w:rsidRPr="002C5D67" w:rsidRDefault="007D212F" w:rsidP="007D212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212F" w:rsidRPr="002C5D67" w:rsidRDefault="007D212F" w:rsidP="007D212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人数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占注册执业人员%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212F" w:rsidRPr="002C5D67" w:rsidRDefault="007D212F" w:rsidP="007D212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350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1611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3725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40%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566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6%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105%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357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1156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49%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86%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127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36%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405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15%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998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81%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278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49%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144%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86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129%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825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42%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114%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119%</w:t>
            </w:r>
          </w:p>
        </w:tc>
      </w:tr>
      <w:tr w:rsidR="007E0D78" w:rsidRPr="002C5D67" w:rsidTr="007E0D78">
        <w:trPr>
          <w:trHeight w:val="397"/>
          <w:jc w:val="center"/>
        </w:trPr>
        <w:tc>
          <w:tcPr>
            <w:tcW w:w="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2C5D67" w:rsidRDefault="00B125DC" w:rsidP="007D212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49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14%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2%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519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115%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746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2%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1%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25DC" w:rsidRPr="00B125DC" w:rsidRDefault="00B125D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B125D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</w:tr>
    </w:tbl>
    <w:p w:rsidR="00D030A2" w:rsidRPr="002C5D67" w:rsidRDefault="00D030A2" w:rsidP="00D030A2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lastRenderedPageBreak/>
        <w:t>201</w:t>
      </w:r>
      <w:r w:rsidR="00B125DC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年，注册执业人员共</w:t>
      </w:r>
      <w:r w:rsidR="00326786">
        <w:rPr>
          <w:rFonts w:ascii="宋体" w:hAnsi="宋体" w:cs="宋体" w:hint="eastAsia"/>
          <w:kern w:val="0"/>
          <w:sz w:val="28"/>
          <w:szCs w:val="28"/>
        </w:rPr>
        <w:t>9378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人次</w:t>
      </w:r>
      <w:r w:rsidRPr="002C5D67">
        <w:rPr>
          <w:rFonts w:ascii="宋体" w:hAnsi="宋体" w:hint="eastAsia"/>
          <w:sz w:val="28"/>
          <w:szCs w:val="28"/>
        </w:rPr>
        <w:t>，同比增长</w:t>
      </w:r>
      <w:r w:rsidR="00326786">
        <w:rPr>
          <w:rFonts w:ascii="宋体" w:hAnsi="宋体" w:hint="eastAsia"/>
          <w:sz w:val="28"/>
          <w:szCs w:val="28"/>
        </w:rPr>
        <w:t>4</w:t>
      </w:r>
      <w:r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D030A2" w:rsidRPr="002C5D67" w:rsidRDefault="00D030A2" w:rsidP="00D030A2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其中：</w:t>
      </w:r>
      <w:r w:rsidR="00C8300C" w:rsidRPr="002C5D67">
        <w:rPr>
          <w:rFonts w:ascii="宋体" w:hAnsi="宋体" w:cs="宋体" w:hint="eastAsia"/>
          <w:kern w:val="0"/>
          <w:sz w:val="28"/>
          <w:szCs w:val="28"/>
        </w:rPr>
        <w:t>注册建筑师</w:t>
      </w:r>
      <w:r w:rsidR="00326786">
        <w:rPr>
          <w:rFonts w:ascii="宋体" w:hAnsi="宋体" w:cs="宋体" w:hint="eastAsia"/>
          <w:kern w:val="0"/>
          <w:sz w:val="28"/>
          <w:szCs w:val="28"/>
        </w:rPr>
        <w:t>353</w:t>
      </w:r>
      <w:r w:rsidR="00C8300C" w:rsidRPr="002C5D67">
        <w:rPr>
          <w:rFonts w:ascii="宋体" w:hAnsi="宋体" w:cs="宋体" w:hint="eastAsia"/>
          <w:kern w:val="0"/>
          <w:sz w:val="28"/>
          <w:szCs w:val="28"/>
        </w:rPr>
        <w:t>人，较去年同比减少</w:t>
      </w:r>
      <w:r w:rsidR="00326786">
        <w:rPr>
          <w:rFonts w:ascii="宋体" w:hAnsi="宋体" w:cs="宋体" w:hint="eastAsia"/>
          <w:kern w:val="0"/>
          <w:sz w:val="28"/>
          <w:szCs w:val="28"/>
        </w:rPr>
        <w:t>4</w:t>
      </w:r>
      <w:r w:rsidR="00C8300C" w:rsidRPr="002C5D67">
        <w:rPr>
          <w:rFonts w:ascii="宋体" w:hAnsi="宋体" w:cs="宋体" w:hint="eastAsia"/>
          <w:kern w:val="0"/>
          <w:sz w:val="28"/>
          <w:szCs w:val="28"/>
        </w:rPr>
        <w:t>%，占注册人员比率4%</w:t>
      </w:r>
      <w:r w:rsidR="00B94F13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：中电工程占</w:t>
      </w:r>
      <w:r w:rsidR="00C8300C" w:rsidRPr="002C5D67">
        <w:rPr>
          <w:rFonts w:ascii="宋体" w:hAnsi="宋体" w:cs="宋体" w:hint="eastAsia"/>
          <w:kern w:val="0"/>
          <w:sz w:val="28"/>
          <w:szCs w:val="28"/>
        </w:rPr>
        <w:t>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="00326786">
        <w:rPr>
          <w:rFonts w:ascii="宋体" w:hAnsi="宋体" w:cs="宋体" w:hint="eastAsia"/>
          <w:kern w:val="0"/>
          <w:sz w:val="28"/>
          <w:szCs w:val="28"/>
        </w:rPr>
        <w:t>3</w:t>
      </w:r>
      <w:r w:rsidRPr="002C5D67">
        <w:rPr>
          <w:rFonts w:ascii="宋体" w:hAnsi="宋体" w:cs="宋体" w:hint="eastAsia"/>
          <w:kern w:val="0"/>
          <w:sz w:val="28"/>
          <w:szCs w:val="28"/>
        </w:rPr>
        <w:t>%、中电建3%、其它</w:t>
      </w:r>
      <w:r w:rsidR="00326786">
        <w:rPr>
          <w:rFonts w:ascii="宋体" w:hAnsi="宋体" w:cs="宋体" w:hint="eastAsia"/>
          <w:kern w:val="0"/>
          <w:sz w:val="28"/>
          <w:szCs w:val="28"/>
        </w:rPr>
        <w:t>5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%，其它占比最高；</w:t>
      </w:r>
    </w:p>
    <w:p w:rsidR="00D030A2" w:rsidRPr="002C5D67" w:rsidRDefault="00C8300C" w:rsidP="00D030A2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注册结构</w:t>
      </w:r>
      <w:r w:rsidR="00326786">
        <w:rPr>
          <w:rFonts w:ascii="宋体" w:hAnsi="宋体" w:cs="宋体" w:hint="eastAsia"/>
          <w:kern w:val="0"/>
          <w:sz w:val="28"/>
          <w:szCs w:val="28"/>
        </w:rPr>
        <w:t>973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326786">
        <w:rPr>
          <w:rFonts w:ascii="宋体" w:hAnsi="宋体" w:cs="宋体" w:hint="eastAsia"/>
          <w:kern w:val="0"/>
          <w:sz w:val="28"/>
          <w:szCs w:val="28"/>
        </w:rPr>
        <w:t>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326786">
        <w:rPr>
          <w:rFonts w:ascii="宋体" w:hAnsi="宋体" w:cs="宋体" w:hint="eastAsia"/>
          <w:kern w:val="0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%，占注册人员比率10%</w:t>
      </w:r>
      <w:r w:rsidR="00B94F13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：中电工程占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11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10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%、中电建8%、其它12%，</w:t>
      </w:r>
      <w:r w:rsidRPr="002C5D67">
        <w:rPr>
          <w:rFonts w:ascii="宋体" w:hAnsi="宋体" w:cs="宋体" w:hint="eastAsia"/>
          <w:kern w:val="0"/>
          <w:sz w:val="28"/>
          <w:szCs w:val="28"/>
        </w:rPr>
        <w:t>其它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占比最高；</w:t>
      </w:r>
    </w:p>
    <w:p w:rsidR="00D030A2" w:rsidRPr="002C5D67" w:rsidRDefault="00C8300C" w:rsidP="00C8300C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注册咨询</w:t>
      </w:r>
      <w:r w:rsidR="00326786">
        <w:rPr>
          <w:rFonts w:ascii="宋体" w:hAnsi="宋体" w:cs="宋体" w:hint="eastAsia"/>
          <w:kern w:val="0"/>
          <w:sz w:val="28"/>
          <w:szCs w:val="28"/>
        </w:rPr>
        <w:t>1800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326786">
        <w:rPr>
          <w:rFonts w:ascii="宋体" w:hAnsi="宋体" w:cs="宋体" w:hint="eastAsia"/>
          <w:kern w:val="0"/>
          <w:sz w:val="28"/>
          <w:szCs w:val="28"/>
        </w:rPr>
        <w:t>4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%，占注册人员比率19%</w:t>
      </w:r>
      <w:r w:rsidR="00B94F13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中电工程占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14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="00326786">
        <w:rPr>
          <w:rFonts w:ascii="宋体" w:hAnsi="宋体" w:cs="宋体" w:hint="eastAsia"/>
          <w:kern w:val="0"/>
          <w:sz w:val="28"/>
          <w:szCs w:val="28"/>
        </w:rPr>
        <w:t>20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%、中电建</w:t>
      </w:r>
      <w:r w:rsidRPr="002C5D67">
        <w:rPr>
          <w:rFonts w:ascii="宋体" w:hAnsi="宋体" w:cs="宋体" w:hint="eastAsia"/>
          <w:kern w:val="0"/>
          <w:sz w:val="28"/>
          <w:szCs w:val="28"/>
        </w:rPr>
        <w:t>1</w:t>
      </w:r>
      <w:r w:rsidR="00326786">
        <w:rPr>
          <w:rFonts w:ascii="宋体" w:hAnsi="宋体" w:cs="宋体" w:hint="eastAsia"/>
          <w:kern w:val="0"/>
          <w:sz w:val="28"/>
          <w:szCs w:val="28"/>
        </w:rPr>
        <w:t>7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%、其它</w:t>
      </w:r>
      <w:r w:rsidR="00326786">
        <w:rPr>
          <w:rFonts w:ascii="宋体" w:hAnsi="宋体" w:cs="宋体" w:hint="eastAsia"/>
          <w:kern w:val="0"/>
          <w:sz w:val="28"/>
          <w:szCs w:val="28"/>
        </w:rPr>
        <w:t>25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%，其它占比最高；</w:t>
      </w:r>
    </w:p>
    <w:p w:rsidR="00D030A2" w:rsidRPr="002C5D67" w:rsidRDefault="00C8300C" w:rsidP="00D030A2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注册岩土</w:t>
      </w:r>
      <w:r w:rsidR="00326786">
        <w:rPr>
          <w:rFonts w:ascii="宋体" w:hAnsi="宋体" w:cs="宋体" w:hint="eastAsia"/>
          <w:kern w:val="0"/>
          <w:sz w:val="28"/>
          <w:szCs w:val="28"/>
        </w:rPr>
        <w:t>350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人，较去年同比增长</w:t>
      </w:r>
      <w:r w:rsidR="00326786">
        <w:rPr>
          <w:rFonts w:ascii="宋体" w:hAnsi="宋体" w:cs="宋体" w:hint="eastAsia"/>
          <w:kern w:val="0"/>
          <w:sz w:val="28"/>
          <w:szCs w:val="28"/>
        </w:rPr>
        <w:t>10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%，占注册人员比率4%</w:t>
      </w:r>
      <w:r w:rsidR="00B94F13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中电工程占4%、中能建占</w:t>
      </w:r>
      <w:r w:rsidR="00326786">
        <w:rPr>
          <w:rFonts w:ascii="宋体" w:hAnsi="宋体" w:cs="宋体" w:hint="eastAsia"/>
          <w:kern w:val="0"/>
          <w:sz w:val="28"/>
          <w:szCs w:val="28"/>
        </w:rPr>
        <w:t>5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%、中电建</w:t>
      </w:r>
      <w:r w:rsidR="00326786">
        <w:rPr>
          <w:rFonts w:ascii="宋体" w:hAnsi="宋体" w:cs="宋体" w:hint="eastAsia"/>
          <w:kern w:val="0"/>
          <w:sz w:val="28"/>
          <w:szCs w:val="28"/>
        </w:rPr>
        <w:t>4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%、其它2%，占比</w:t>
      </w:r>
      <w:r w:rsidR="00D8401D">
        <w:rPr>
          <w:rFonts w:ascii="宋体" w:hAnsi="宋体" w:cs="宋体" w:hint="eastAsia"/>
          <w:kern w:val="0"/>
          <w:sz w:val="28"/>
          <w:szCs w:val="28"/>
        </w:rPr>
        <w:t>相对均衡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；</w:t>
      </w:r>
    </w:p>
    <w:p w:rsidR="00D030A2" w:rsidRPr="002C5D67" w:rsidRDefault="00C8300C" w:rsidP="00245E43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注册电气</w:t>
      </w:r>
      <w:r w:rsidR="00326786">
        <w:rPr>
          <w:rFonts w:ascii="宋体" w:hAnsi="宋体" w:cs="宋体" w:hint="eastAsia"/>
          <w:kern w:val="0"/>
          <w:sz w:val="28"/>
          <w:szCs w:val="28"/>
        </w:rPr>
        <w:t>1611</w:t>
      </w:r>
      <w:r w:rsidRPr="002C5D67">
        <w:rPr>
          <w:rFonts w:ascii="宋体" w:hAnsi="宋体" w:cs="宋体" w:hint="eastAsia"/>
          <w:kern w:val="0"/>
          <w:sz w:val="28"/>
          <w:szCs w:val="28"/>
        </w:rPr>
        <w:t>人，较去年同比</w:t>
      </w:r>
      <w:r w:rsidR="00326786">
        <w:rPr>
          <w:rFonts w:ascii="宋体" w:hAnsi="宋体" w:cs="宋体" w:hint="eastAsia"/>
          <w:kern w:val="0"/>
          <w:sz w:val="28"/>
          <w:szCs w:val="28"/>
        </w:rPr>
        <w:t>增</w:t>
      </w:r>
      <w:r w:rsidR="00D342E2">
        <w:rPr>
          <w:rFonts w:ascii="宋体" w:hAnsi="宋体" w:cs="宋体" w:hint="eastAsia"/>
          <w:kern w:val="0"/>
          <w:sz w:val="28"/>
          <w:szCs w:val="28"/>
        </w:rPr>
        <w:t>长</w:t>
      </w:r>
      <w:r w:rsidR="00326786">
        <w:rPr>
          <w:rFonts w:ascii="宋体" w:hAnsi="宋体" w:cs="宋体" w:hint="eastAsia"/>
          <w:kern w:val="0"/>
          <w:sz w:val="28"/>
          <w:szCs w:val="28"/>
        </w:rPr>
        <w:t>18</w:t>
      </w:r>
      <w:r w:rsidRPr="002C5D67">
        <w:rPr>
          <w:rFonts w:ascii="宋体" w:hAnsi="宋体" w:cs="宋体" w:hint="eastAsia"/>
          <w:kern w:val="0"/>
          <w:sz w:val="28"/>
          <w:szCs w:val="28"/>
        </w:rPr>
        <w:t>%，占注册人员比率1</w:t>
      </w:r>
      <w:r w:rsidR="00326786">
        <w:rPr>
          <w:rFonts w:ascii="宋体" w:hAnsi="宋体" w:cs="宋体" w:hint="eastAsia"/>
          <w:kern w:val="0"/>
          <w:sz w:val="28"/>
          <w:szCs w:val="28"/>
        </w:rPr>
        <w:t>7</w:t>
      </w:r>
      <w:r w:rsidRPr="002C5D67">
        <w:rPr>
          <w:rFonts w:ascii="宋体" w:hAnsi="宋体" w:cs="宋体" w:hint="eastAsia"/>
          <w:kern w:val="0"/>
          <w:sz w:val="28"/>
          <w:szCs w:val="28"/>
        </w:rPr>
        <w:t>%</w:t>
      </w:r>
      <w:r w:rsidR="00B94F13" w:rsidRPr="002C5D67">
        <w:rPr>
          <w:rFonts w:ascii="宋体" w:hAnsi="宋体" w:cs="宋体" w:hint="eastAsia"/>
          <w:kern w:val="0"/>
          <w:sz w:val="28"/>
          <w:szCs w:val="28"/>
        </w:rPr>
        <w:t>，其中</w:t>
      </w:r>
      <w:r w:rsidRPr="002C5D67">
        <w:rPr>
          <w:rFonts w:ascii="宋体" w:hAnsi="宋体" w:cs="宋体" w:hint="eastAsia"/>
          <w:kern w:val="0"/>
          <w:sz w:val="28"/>
          <w:szCs w:val="28"/>
        </w:rPr>
        <w:t>：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中电工程占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15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%、中能建占</w:t>
      </w:r>
      <w:r w:rsidRPr="002C5D67">
        <w:rPr>
          <w:rFonts w:ascii="宋体" w:hAnsi="宋体" w:cs="宋体" w:hint="eastAsia"/>
          <w:kern w:val="0"/>
          <w:sz w:val="28"/>
          <w:szCs w:val="28"/>
        </w:rPr>
        <w:t>1</w:t>
      </w:r>
      <w:r w:rsidR="00326786">
        <w:rPr>
          <w:rFonts w:ascii="宋体" w:hAnsi="宋体" w:cs="宋体" w:hint="eastAsia"/>
          <w:kern w:val="0"/>
          <w:sz w:val="28"/>
          <w:szCs w:val="28"/>
        </w:rPr>
        <w:t>5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%、中电建1</w:t>
      </w:r>
      <w:r w:rsidR="00326786">
        <w:rPr>
          <w:rFonts w:ascii="宋体" w:hAnsi="宋体" w:cs="宋体" w:hint="eastAsia"/>
          <w:kern w:val="0"/>
          <w:sz w:val="28"/>
          <w:szCs w:val="28"/>
        </w:rPr>
        <w:t>7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%、其它</w:t>
      </w:r>
      <w:r w:rsidR="00326786">
        <w:rPr>
          <w:rFonts w:ascii="宋体" w:hAnsi="宋体" w:cs="宋体" w:hint="eastAsia"/>
          <w:kern w:val="0"/>
          <w:sz w:val="28"/>
          <w:szCs w:val="28"/>
        </w:rPr>
        <w:t>22</w:t>
      </w:r>
      <w:r w:rsidR="00245E43" w:rsidRPr="002C5D67">
        <w:rPr>
          <w:rFonts w:ascii="宋体" w:hAnsi="宋体" w:cs="宋体" w:hint="eastAsia"/>
          <w:kern w:val="0"/>
          <w:sz w:val="28"/>
          <w:szCs w:val="28"/>
        </w:rPr>
        <w:t>%，其它占比最高</w:t>
      </w:r>
      <w:r w:rsidR="00D030A2" w:rsidRPr="002C5D67">
        <w:rPr>
          <w:rFonts w:ascii="宋体" w:hAnsi="宋体" w:cs="宋体" w:hint="eastAsia"/>
          <w:kern w:val="0"/>
          <w:sz w:val="28"/>
          <w:szCs w:val="28"/>
        </w:rPr>
        <w:t>。</w:t>
      </w:r>
    </w:p>
    <w:p w:rsidR="00BD1A15" w:rsidRDefault="00B94F13" w:rsidP="00BD1A15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2C5D67">
        <w:rPr>
          <w:rFonts w:ascii="宋体" w:hAnsi="宋体" w:cs="宋体" w:hint="eastAsia"/>
          <w:kern w:val="0"/>
          <w:sz w:val="28"/>
          <w:szCs w:val="28"/>
        </w:rPr>
        <w:t>各类注册人员较上年有增有减，注册</w:t>
      </w:r>
      <w:r w:rsidR="00326786">
        <w:rPr>
          <w:rFonts w:ascii="宋体" w:hAnsi="宋体" w:cs="宋体" w:hint="eastAsia"/>
          <w:kern w:val="0"/>
          <w:sz w:val="28"/>
          <w:szCs w:val="28"/>
        </w:rPr>
        <w:t>电气师</w:t>
      </w:r>
      <w:r w:rsidRPr="002C5D67">
        <w:rPr>
          <w:rFonts w:ascii="宋体" w:hAnsi="宋体" w:cs="宋体" w:hint="eastAsia"/>
          <w:kern w:val="0"/>
          <w:sz w:val="28"/>
          <w:szCs w:val="28"/>
        </w:rPr>
        <w:t>和注册岩土师增幅较大，</w:t>
      </w:r>
      <w:r w:rsidR="00D8401D" w:rsidRPr="002C5D67">
        <w:rPr>
          <w:rFonts w:ascii="宋体" w:hAnsi="宋体" w:cs="宋体" w:hint="eastAsia"/>
          <w:kern w:val="0"/>
          <w:sz w:val="28"/>
          <w:szCs w:val="28"/>
        </w:rPr>
        <w:t>基于国家对设计院在资质上的硬性要求，</w:t>
      </w:r>
      <w:r w:rsidR="00D8401D">
        <w:rPr>
          <w:rFonts w:ascii="宋体" w:hAnsi="宋体" w:cs="宋体" w:hint="eastAsia"/>
          <w:kern w:val="0"/>
          <w:sz w:val="28"/>
          <w:szCs w:val="28"/>
        </w:rPr>
        <w:t>由于</w:t>
      </w:r>
      <w:r w:rsidR="00D8401D" w:rsidRPr="002C5D67">
        <w:rPr>
          <w:rFonts w:ascii="宋体" w:hAnsi="宋体" w:cs="宋体" w:hint="eastAsia"/>
          <w:kern w:val="0"/>
          <w:sz w:val="28"/>
          <w:szCs w:val="28"/>
        </w:rPr>
        <w:t>其它设计院单位</w:t>
      </w:r>
      <w:r w:rsidR="00326786">
        <w:rPr>
          <w:rFonts w:ascii="宋体" w:hAnsi="宋体" w:cs="宋体" w:hint="eastAsia"/>
          <w:kern w:val="0"/>
          <w:sz w:val="28"/>
          <w:szCs w:val="28"/>
        </w:rPr>
        <w:t>数量较</w:t>
      </w:r>
      <w:r w:rsidR="00D8401D" w:rsidRPr="002C5D67">
        <w:rPr>
          <w:rFonts w:ascii="宋体" w:hAnsi="宋体" w:cs="宋体" w:hint="eastAsia"/>
          <w:kern w:val="0"/>
          <w:sz w:val="28"/>
          <w:szCs w:val="28"/>
        </w:rPr>
        <w:t>多，故其它</w:t>
      </w:r>
      <w:r w:rsidR="00326786">
        <w:rPr>
          <w:rFonts w:ascii="宋体" w:hAnsi="宋体" w:cs="宋体" w:hint="eastAsia"/>
          <w:kern w:val="0"/>
          <w:sz w:val="28"/>
          <w:szCs w:val="28"/>
        </w:rPr>
        <w:t>设计院各类</w:t>
      </w:r>
      <w:r w:rsidR="00D8401D" w:rsidRPr="002C5D67">
        <w:rPr>
          <w:rFonts w:ascii="宋体" w:hAnsi="宋体" w:cs="宋体" w:hint="eastAsia"/>
          <w:kern w:val="0"/>
          <w:sz w:val="28"/>
          <w:szCs w:val="28"/>
        </w:rPr>
        <w:t>注册人员占比相对</w:t>
      </w:r>
      <w:r w:rsidR="00D8401D">
        <w:rPr>
          <w:rFonts w:ascii="宋体" w:hAnsi="宋体" w:cs="宋体" w:hint="eastAsia"/>
          <w:kern w:val="0"/>
          <w:sz w:val="28"/>
          <w:szCs w:val="28"/>
        </w:rPr>
        <w:t>较</w:t>
      </w:r>
      <w:r w:rsidR="00D8401D" w:rsidRPr="002C5D67">
        <w:rPr>
          <w:rFonts w:ascii="宋体" w:hAnsi="宋体" w:cs="宋体" w:hint="eastAsia"/>
          <w:kern w:val="0"/>
          <w:sz w:val="28"/>
          <w:szCs w:val="28"/>
        </w:rPr>
        <w:t>高。</w:t>
      </w:r>
      <w:r w:rsidR="00BD1A15">
        <w:rPr>
          <w:rFonts w:ascii="宋体" w:hAnsi="宋体" w:cs="宋体"/>
          <w:kern w:val="0"/>
          <w:sz w:val="28"/>
          <w:szCs w:val="28"/>
        </w:rPr>
        <w:br w:type="page"/>
      </w:r>
    </w:p>
    <w:p w:rsidR="00BD1A15" w:rsidRDefault="00BD1A15" w:rsidP="00B75366">
      <w:pPr>
        <w:spacing w:line="360" w:lineRule="auto"/>
        <w:ind w:firstLineChars="200" w:firstLine="560"/>
        <w:rPr>
          <w:rFonts w:ascii="宋体" w:hAnsi="宋体" w:cs="宋体"/>
          <w:kern w:val="0"/>
          <w:sz w:val="28"/>
          <w:szCs w:val="28"/>
        </w:rPr>
        <w:sectPr w:rsidR="00BD1A15" w:rsidSect="00C15F2D">
          <w:pgSz w:w="16838" w:h="11906" w:orient="landscape"/>
          <w:pgMar w:top="1712" w:right="1304" w:bottom="2211" w:left="1304" w:header="851" w:footer="992" w:gutter="0"/>
          <w:cols w:space="425"/>
          <w:docGrid w:type="lines" w:linePitch="312"/>
        </w:sectPr>
      </w:pPr>
    </w:p>
    <w:p w:rsidR="00BD1A15" w:rsidRDefault="00BD1A15" w:rsidP="00BD1A15">
      <w:pPr>
        <w:spacing w:line="360" w:lineRule="auto"/>
        <w:rPr>
          <w:rFonts w:ascii="宋体" w:hAnsi="宋体" w:cs="宋体"/>
          <w:kern w:val="0"/>
          <w:sz w:val="28"/>
          <w:szCs w:val="28"/>
        </w:rPr>
      </w:pPr>
      <w:r w:rsidRPr="00BD1A15"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069205" cy="2979918"/>
            <wp:effectExtent l="19050" t="0" r="17145" b="0"/>
            <wp:docPr id="62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BD1A15" w:rsidRDefault="00BD1A15" w:rsidP="00BD1A15">
      <w:pPr>
        <w:spacing w:line="360" w:lineRule="auto"/>
        <w:rPr>
          <w:rFonts w:ascii="宋体" w:hAnsi="宋体" w:cs="宋体"/>
          <w:kern w:val="0"/>
          <w:sz w:val="28"/>
          <w:szCs w:val="28"/>
        </w:rPr>
      </w:pPr>
      <w:r w:rsidRPr="00BD1A15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069205" cy="2325732"/>
            <wp:effectExtent l="19050" t="0" r="17145" b="0"/>
            <wp:docPr id="64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BD1A15" w:rsidRPr="00BD1A15" w:rsidRDefault="00BD1A15" w:rsidP="00BD1A15">
      <w:pPr>
        <w:rPr>
          <w:rFonts w:ascii="宋体" w:hAnsi="宋体" w:cs="宋体"/>
          <w:kern w:val="0"/>
          <w:sz w:val="10"/>
          <w:szCs w:val="10"/>
        </w:rPr>
      </w:pPr>
    </w:p>
    <w:p w:rsidR="00BD1A15" w:rsidRDefault="00BD1A15" w:rsidP="00BD1A15">
      <w:pPr>
        <w:spacing w:line="360" w:lineRule="auto"/>
        <w:rPr>
          <w:rFonts w:ascii="宋体" w:hAnsi="宋体" w:cs="宋体"/>
          <w:kern w:val="0"/>
          <w:sz w:val="28"/>
          <w:szCs w:val="28"/>
        </w:rPr>
        <w:sectPr w:rsidR="00BD1A15" w:rsidSect="00BD1A15">
          <w:pgSz w:w="11906" w:h="16838"/>
          <w:pgMar w:top="1304" w:right="2211" w:bottom="1304" w:left="1712" w:header="851" w:footer="992" w:gutter="0"/>
          <w:cols w:space="425"/>
          <w:docGrid w:type="lines" w:linePitch="312"/>
        </w:sectPr>
      </w:pPr>
      <w:r w:rsidRPr="00BD1A15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069205" cy="2755207"/>
            <wp:effectExtent l="19050" t="0" r="17145" b="7043"/>
            <wp:docPr id="65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461E11" w:rsidRPr="002C5D67" w:rsidRDefault="00461E11" w:rsidP="003E7DEA">
      <w:pPr>
        <w:pStyle w:val="3"/>
        <w:numPr>
          <w:ilvl w:val="0"/>
          <w:numId w:val="10"/>
        </w:numPr>
        <w:rPr>
          <w:rFonts w:ascii="宋体" w:hAnsi="宋体"/>
          <w:sz w:val="28"/>
          <w:szCs w:val="28"/>
        </w:rPr>
      </w:pPr>
      <w:bookmarkStart w:id="61" w:name="_Toc450668468"/>
      <w:r w:rsidRPr="002C5D67">
        <w:rPr>
          <w:rFonts w:ascii="宋体" w:hAnsi="宋体" w:hint="eastAsia"/>
          <w:sz w:val="28"/>
          <w:szCs w:val="28"/>
        </w:rPr>
        <w:lastRenderedPageBreak/>
        <w:t>签订合同情况分析</w:t>
      </w:r>
      <w:bookmarkEnd w:id="61"/>
      <w:r w:rsidRPr="002C5D67">
        <w:rPr>
          <w:rFonts w:ascii="宋体" w:hAnsi="宋体" w:hint="eastAsia"/>
          <w:sz w:val="28"/>
          <w:szCs w:val="28"/>
        </w:rPr>
        <w:t xml:space="preserve">    </w:t>
      </w:r>
    </w:p>
    <w:p w:rsidR="00461E11" w:rsidRPr="002C5D67" w:rsidRDefault="00461E11" w:rsidP="00461E11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t>2.1新签合同总额分析</w:t>
      </w:r>
    </w:p>
    <w:p w:rsidR="00167509" w:rsidRPr="007E0D78" w:rsidRDefault="00461E11" w:rsidP="007E0D78">
      <w:pPr>
        <w:spacing w:line="360" w:lineRule="auto"/>
        <w:ind w:firstLineChars="250" w:firstLine="700"/>
        <w:rPr>
          <w:rFonts w:ascii="宋体" w:hAnsi="宋体"/>
          <w:sz w:val="28"/>
          <w:szCs w:val="28"/>
        </w:rPr>
      </w:pPr>
      <w:r w:rsidRPr="007E0D78">
        <w:rPr>
          <w:rFonts w:ascii="宋体" w:hAnsi="宋体" w:hint="eastAsia"/>
          <w:sz w:val="28"/>
          <w:szCs w:val="28"/>
        </w:rPr>
        <w:t>201</w:t>
      </w:r>
      <w:r w:rsidR="002E0A78" w:rsidRPr="007E0D78">
        <w:rPr>
          <w:rFonts w:ascii="宋体" w:hAnsi="宋体" w:hint="eastAsia"/>
          <w:sz w:val="28"/>
          <w:szCs w:val="28"/>
        </w:rPr>
        <w:t>5</w:t>
      </w:r>
      <w:r w:rsidRPr="007E0D78">
        <w:rPr>
          <w:rFonts w:ascii="宋体" w:hAnsi="宋体" w:hint="eastAsia"/>
          <w:sz w:val="28"/>
          <w:szCs w:val="28"/>
        </w:rPr>
        <w:t>年，新签订合同总额为</w:t>
      </w:r>
      <w:r w:rsidR="002E0A78" w:rsidRPr="007E0D78">
        <w:rPr>
          <w:rFonts w:ascii="宋体" w:hAnsi="宋体" w:hint="eastAsia"/>
          <w:sz w:val="28"/>
          <w:szCs w:val="28"/>
        </w:rPr>
        <w:t>1202.82</w:t>
      </w:r>
      <w:r w:rsidR="003808A2" w:rsidRPr="007E0D78">
        <w:rPr>
          <w:rFonts w:ascii="宋体" w:hAnsi="宋体" w:hint="eastAsia"/>
          <w:sz w:val="28"/>
          <w:szCs w:val="28"/>
        </w:rPr>
        <w:t>亿</w:t>
      </w:r>
      <w:r w:rsidRPr="007E0D78">
        <w:rPr>
          <w:rFonts w:ascii="宋体" w:hAnsi="宋体" w:hint="eastAsia"/>
          <w:sz w:val="28"/>
          <w:szCs w:val="28"/>
        </w:rPr>
        <w:t>元，同比</w:t>
      </w:r>
      <w:r w:rsidR="00D342E2" w:rsidRPr="007E0D78">
        <w:rPr>
          <w:rFonts w:ascii="宋体" w:hAnsi="宋体" w:hint="eastAsia"/>
          <w:sz w:val="28"/>
          <w:szCs w:val="28"/>
        </w:rPr>
        <w:t>增长</w:t>
      </w:r>
      <w:r w:rsidR="002E0A78" w:rsidRPr="007E0D78">
        <w:rPr>
          <w:rFonts w:ascii="宋体" w:hAnsi="宋体" w:hint="eastAsia"/>
          <w:sz w:val="28"/>
          <w:szCs w:val="28"/>
        </w:rPr>
        <w:t>8</w:t>
      </w:r>
      <w:r w:rsidRPr="007E0D78">
        <w:rPr>
          <w:rFonts w:ascii="宋体" w:hAnsi="宋体" w:hint="eastAsia"/>
          <w:sz w:val="28"/>
          <w:szCs w:val="28"/>
        </w:rPr>
        <w:t>%。其中：</w:t>
      </w:r>
      <w:r w:rsidR="003808A2" w:rsidRPr="007E0D78">
        <w:rPr>
          <w:rFonts w:ascii="宋体" w:hAnsi="宋体" w:hint="eastAsia"/>
          <w:sz w:val="28"/>
          <w:szCs w:val="28"/>
        </w:rPr>
        <w:t>中电工程</w:t>
      </w:r>
      <w:r w:rsidR="002E0A78" w:rsidRPr="007E0D78">
        <w:rPr>
          <w:rFonts w:ascii="宋体" w:hAnsi="宋体" w:hint="eastAsia"/>
          <w:sz w:val="28"/>
          <w:szCs w:val="28"/>
        </w:rPr>
        <w:t>425.68</w:t>
      </w:r>
      <w:r w:rsidR="003808A2" w:rsidRPr="007E0D78">
        <w:rPr>
          <w:rFonts w:ascii="宋体" w:hAnsi="宋体" w:hint="eastAsia"/>
          <w:sz w:val="28"/>
          <w:szCs w:val="28"/>
        </w:rPr>
        <w:t>亿</w:t>
      </w:r>
      <w:r w:rsidRPr="007E0D78">
        <w:rPr>
          <w:rFonts w:ascii="宋体" w:hAnsi="宋体" w:hint="eastAsia"/>
          <w:sz w:val="28"/>
          <w:szCs w:val="28"/>
        </w:rPr>
        <w:t>元，占</w:t>
      </w:r>
      <w:r w:rsidR="00F8041B" w:rsidRPr="007E0D78">
        <w:rPr>
          <w:rFonts w:ascii="宋体" w:hAnsi="宋体" w:hint="eastAsia"/>
          <w:sz w:val="28"/>
          <w:szCs w:val="28"/>
        </w:rPr>
        <w:t>3</w:t>
      </w:r>
      <w:r w:rsidR="002E0A78" w:rsidRPr="007E0D78">
        <w:rPr>
          <w:rFonts w:ascii="宋体" w:hAnsi="宋体" w:hint="eastAsia"/>
          <w:sz w:val="28"/>
          <w:szCs w:val="28"/>
        </w:rPr>
        <w:t>5.4</w:t>
      </w:r>
      <w:r w:rsidRPr="007E0D78">
        <w:rPr>
          <w:rFonts w:ascii="宋体" w:hAnsi="宋体" w:hint="eastAsia"/>
          <w:sz w:val="28"/>
          <w:szCs w:val="28"/>
        </w:rPr>
        <w:t>%；</w:t>
      </w:r>
      <w:r w:rsidR="003808A2" w:rsidRPr="007E0D78">
        <w:rPr>
          <w:rFonts w:ascii="宋体" w:hAnsi="宋体" w:hint="eastAsia"/>
          <w:sz w:val="28"/>
          <w:szCs w:val="28"/>
        </w:rPr>
        <w:t>中能建</w:t>
      </w:r>
      <w:r w:rsidR="002E0A78" w:rsidRPr="007E0D78">
        <w:rPr>
          <w:rFonts w:ascii="宋体" w:hAnsi="宋体" w:hint="eastAsia"/>
          <w:sz w:val="28"/>
          <w:szCs w:val="28"/>
        </w:rPr>
        <w:t>296.22</w:t>
      </w:r>
      <w:r w:rsidR="003808A2" w:rsidRPr="007E0D78">
        <w:rPr>
          <w:rFonts w:ascii="宋体" w:hAnsi="宋体" w:hint="eastAsia"/>
          <w:sz w:val="28"/>
          <w:szCs w:val="28"/>
        </w:rPr>
        <w:t>亿</w:t>
      </w:r>
      <w:r w:rsidRPr="007E0D78">
        <w:rPr>
          <w:rFonts w:ascii="宋体" w:hAnsi="宋体" w:hint="eastAsia"/>
          <w:sz w:val="28"/>
          <w:szCs w:val="28"/>
        </w:rPr>
        <w:t>元，占</w:t>
      </w:r>
      <w:r w:rsidR="002E0A78" w:rsidRPr="007E0D78">
        <w:rPr>
          <w:rFonts w:ascii="宋体" w:hAnsi="宋体" w:hint="eastAsia"/>
          <w:sz w:val="28"/>
          <w:szCs w:val="28"/>
        </w:rPr>
        <w:t>24.6</w:t>
      </w:r>
      <w:r w:rsidRPr="007E0D78">
        <w:rPr>
          <w:rFonts w:ascii="宋体" w:hAnsi="宋体" w:hint="eastAsia"/>
          <w:sz w:val="28"/>
          <w:szCs w:val="28"/>
        </w:rPr>
        <w:t>%；</w:t>
      </w:r>
      <w:r w:rsidR="003808A2" w:rsidRPr="007E0D78">
        <w:rPr>
          <w:rFonts w:ascii="宋体" w:hAnsi="宋体" w:hint="eastAsia"/>
          <w:sz w:val="28"/>
          <w:szCs w:val="28"/>
        </w:rPr>
        <w:t>中电建</w:t>
      </w:r>
      <w:r w:rsidR="002E0A78" w:rsidRPr="007E0D78">
        <w:rPr>
          <w:rFonts w:ascii="宋体" w:hAnsi="宋体" w:hint="eastAsia"/>
          <w:sz w:val="28"/>
          <w:szCs w:val="28"/>
        </w:rPr>
        <w:t>239.84</w:t>
      </w:r>
      <w:r w:rsidR="003808A2" w:rsidRPr="007E0D78">
        <w:rPr>
          <w:rFonts w:ascii="宋体" w:hAnsi="宋体" w:hint="eastAsia"/>
          <w:sz w:val="28"/>
          <w:szCs w:val="28"/>
        </w:rPr>
        <w:t>亿</w:t>
      </w:r>
      <w:r w:rsidRPr="007E0D78">
        <w:rPr>
          <w:rFonts w:ascii="宋体" w:hAnsi="宋体" w:hint="eastAsia"/>
          <w:sz w:val="28"/>
          <w:szCs w:val="28"/>
        </w:rPr>
        <w:t>元，占</w:t>
      </w:r>
      <w:r w:rsidR="002E0A78" w:rsidRPr="007E0D78">
        <w:rPr>
          <w:rFonts w:ascii="宋体" w:hAnsi="宋体" w:hint="eastAsia"/>
          <w:sz w:val="28"/>
          <w:szCs w:val="28"/>
        </w:rPr>
        <w:t>24.6</w:t>
      </w:r>
      <w:r w:rsidRPr="007E0D78">
        <w:rPr>
          <w:rFonts w:ascii="宋体" w:hAnsi="宋体" w:hint="eastAsia"/>
          <w:sz w:val="28"/>
          <w:szCs w:val="28"/>
        </w:rPr>
        <w:t>%</w:t>
      </w:r>
      <w:r w:rsidR="003808A2" w:rsidRPr="007E0D78">
        <w:rPr>
          <w:rFonts w:ascii="宋体" w:hAnsi="宋体" w:hint="eastAsia"/>
          <w:sz w:val="28"/>
          <w:szCs w:val="28"/>
        </w:rPr>
        <w:t>，其它</w:t>
      </w:r>
      <w:r w:rsidR="002E0A78" w:rsidRPr="007E0D78">
        <w:rPr>
          <w:rFonts w:ascii="宋体" w:hAnsi="宋体" w:hint="eastAsia"/>
          <w:sz w:val="28"/>
          <w:szCs w:val="28"/>
        </w:rPr>
        <w:t>241.07</w:t>
      </w:r>
      <w:r w:rsidR="003808A2" w:rsidRPr="007E0D78">
        <w:rPr>
          <w:rFonts w:ascii="宋体" w:hAnsi="宋体" w:hint="eastAsia"/>
          <w:sz w:val="28"/>
          <w:szCs w:val="28"/>
        </w:rPr>
        <w:t>亿元</w:t>
      </w:r>
      <w:r w:rsidR="00CD2265" w:rsidRPr="007E0D78">
        <w:rPr>
          <w:rFonts w:ascii="宋体" w:hAnsi="宋体" w:hint="eastAsia"/>
          <w:sz w:val="28"/>
          <w:szCs w:val="28"/>
        </w:rPr>
        <w:t>，占</w:t>
      </w:r>
      <w:r w:rsidR="002E0A78" w:rsidRPr="007E0D78">
        <w:rPr>
          <w:rFonts w:ascii="宋体" w:hAnsi="宋体" w:hint="eastAsia"/>
          <w:sz w:val="28"/>
          <w:szCs w:val="28"/>
        </w:rPr>
        <w:t>20</w:t>
      </w:r>
      <w:r w:rsidR="00CD2265" w:rsidRPr="007E0D78">
        <w:rPr>
          <w:rFonts w:ascii="宋体" w:hAnsi="宋体" w:hint="eastAsia"/>
          <w:sz w:val="28"/>
          <w:szCs w:val="28"/>
        </w:rPr>
        <w:t>%</w:t>
      </w:r>
      <w:r w:rsidRPr="007E0D78">
        <w:rPr>
          <w:rFonts w:ascii="宋体" w:hAnsi="宋体" w:hint="eastAsia"/>
          <w:sz w:val="28"/>
          <w:szCs w:val="28"/>
        </w:rPr>
        <w:t>。</w:t>
      </w:r>
      <w:r w:rsidR="00167509" w:rsidRPr="007E0D78">
        <w:rPr>
          <w:rFonts w:ascii="宋体" w:hAnsi="宋体" w:hint="eastAsia"/>
          <w:sz w:val="28"/>
          <w:szCs w:val="28"/>
        </w:rPr>
        <w:t>勘测设计及咨询服务传统业务占</w:t>
      </w:r>
      <w:r w:rsidR="002E0A78" w:rsidRPr="007E0D78">
        <w:rPr>
          <w:rFonts w:ascii="宋体" w:hAnsi="宋体" w:hint="eastAsia"/>
          <w:sz w:val="28"/>
          <w:szCs w:val="28"/>
        </w:rPr>
        <w:t>17.5</w:t>
      </w:r>
      <w:r w:rsidR="00167509" w:rsidRPr="007E0D78">
        <w:rPr>
          <w:rFonts w:ascii="宋体" w:hAnsi="宋体" w:hint="eastAsia"/>
          <w:sz w:val="28"/>
          <w:szCs w:val="28"/>
        </w:rPr>
        <w:t>%,比去年同期增长2%，总承包业务占78.1%</w:t>
      </w:r>
      <w:r w:rsidR="002E0A78" w:rsidRPr="007E0D78">
        <w:rPr>
          <w:rFonts w:ascii="宋体" w:hAnsi="宋体" w:hint="eastAsia"/>
          <w:sz w:val="28"/>
          <w:szCs w:val="28"/>
        </w:rPr>
        <w:t>，较去年同期减少8.2</w:t>
      </w:r>
      <w:r w:rsidR="00167509" w:rsidRPr="007E0D78">
        <w:rPr>
          <w:rFonts w:ascii="宋体" w:hAnsi="宋体" w:hint="eastAsia"/>
          <w:sz w:val="28"/>
          <w:szCs w:val="28"/>
        </w:rPr>
        <w:t>%</w:t>
      </w:r>
      <w:r w:rsidR="002E0A78" w:rsidRPr="007E0D78">
        <w:rPr>
          <w:rFonts w:ascii="宋体" w:hAnsi="宋体" w:hint="eastAsia"/>
          <w:sz w:val="28"/>
          <w:szCs w:val="28"/>
        </w:rPr>
        <w:t>；总承包业务占82%，较去年同期增长13%。</w:t>
      </w:r>
    </w:p>
    <w:p w:rsidR="00461E11" w:rsidRPr="002C5D67" w:rsidRDefault="00461E11" w:rsidP="00167509">
      <w:pPr>
        <w:spacing w:line="360" w:lineRule="auto"/>
        <w:ind w:firstLineChars="250" w:firstLine="753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201</w:t>
      </w:r>
      <w:r w:rsidR="002E0A78">
        <w:rPr>
          <w:rFonts w:ascii="宋体" w:hAnsi="宋体" w:hint="eastAsia"/>
          <w:b/>
          <w:noProof/>
          <w:sz w:val="30"/>
          <w:szCs w:val="30"/>
        </w:rPr>
        <w:t>5</w:t>
      </w:r>
      <w:r w:rsidRPr="002C5D67">
        <w:rPr>
          <w:rFonts w:ascii="宋体" w:hAnsi="宋体" w:hint="eastAsia"/>
          <w:b/>
          <w:noProof/>
          <w:sz w:val="30"/>
          <w:szCs w:val="30"/>
        </w:rPr>
        <w:t>年度新签合同额构成分析</w:t>
      </w:r>
      <w:r w:rsidR="001016AC" w:rsidRPr="002C5D67">
        <w:rPr>
          <w:rFonts w:ascii="宋体" w:hAnsi="宋体" w:hint="eastAsia"/>
          <w:b/>
          <w:noProof/>
          <w:szCs w:val="21"/>
        </w:rPr>
        <w:t>（单位：万元）</w:t>
      </w:r>
    </w:p>
    <w:tbl>
      <w:tblPr>
        <w:tblW w:w="13297" w:type="dxa"/>
        <w:jc w:val="center"/>
        <w:tblInd w:w="250" w:type="dxa"/>
        <w:tblLayout w:type="fixed"/>
        <w:tblLook w:val="04A0"/>
      </w:tblPr>
      <w:tblGrid>
        <w:gridCol w:w="284"/>
        <w:gridCol w:w="992"/>
        <w:gridCol w:w="992"/>
        <w:gridCol w:w="709"/>
        <w:gridCol w:w="709"/>
        <w:gridCol w:w="850"/>
        <w:gridCol w:w="709"/>
        <w:gridCol w:w="851"/>
        <w:gridCol w:w="850"/>
        <w:gridCol w:w="851"/>
        <w:gridCol w:w="708"/>
        <w:gridCol w:w="851"/>
        <w:gridCol w:w="850"/>
        <w:gridCol w:w="851"/>
        <w:gridCol w:w="709"/>
        <w:gridCol w:w="681"/>
        <w:gridCol w:w="850"/>
      </w:tblGrid>
      <w:tr w:rsidR="001B37AA" w:rsidRPr="002C5D67" w:rsidTr="007E0D78">
        <w:trPr>
          <w:trHeight w:val="283"/>
          <w:jc w:val="center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勘测合同总额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设计合同总额</w:t>
            </w:r>
          </w:p>
        </w:tc>
        <w:tc>
          <w:tcPr>
            <w:tcW w:w="30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咨询合同总额</w:t>
            </w:r>
          </w:p>
        </w:tc>
      </w:tr>
      <w:tr w:rsidR="00EF74A5" w:rsidRPr="002C5D67" w:rsidTr="007E0D78">
        <w:trPr>
          <w:trHeight w:val="283"/>
          <w:jc w:val="center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7AA" w:rsidRPr="002C5D67" w:rsidRDefault="001B37AA" w:rsidP="001B37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37AA" w:rsidRPr="002C5D67" w:rsidRDefault="001B37AA" w:rsidP="001B37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EE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</w:t>
            </w:r>
          </w:p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EE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</w:t>
            </w:r>
          </w:p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总额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1EE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</w:t>
            </w:r>
          </w:p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2E0A78" w:rsidRPr="002C5D67" w:rsidTr="007E0D78">
        <w:trPr>
          <w:trHeight w:val="20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12028175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290893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2.4%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96.2%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1624230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13.5%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91.5%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184467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1.5%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88.6%</w:t>
            </w:r>
          </w:p>
        </w:tc>
      </w:tr>
      <w:tr w:rsidR="002E0A78" w:rsidRPr="002C5D67" w:rsidTr="007E0D78">
        <w:trPr>
          <w:trHeight w:val="20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4256841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35.4%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98052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33.7%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2.3%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99.9%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466306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28.7%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11.0%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86.0%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19683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10.7%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56.7%</w:t>
            </w:r>
          </w:p>
        </w:tc>
      </w:tr>
      <w:tr w:rsidR="002E0A78" w:rsidRPr="002C5D67" w:rsidTr="007E0D78">
        <w:trPr>
          <w:trHeight w:val="20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2962216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24.6%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54501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18.7%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1.8%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90.9%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409246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25.2%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13.8%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97.8%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87683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47.5%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3.0%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95.9%</w:t>
            </w:r>
          </w:p>
        </w:tc>
      </w:tr>
      <w:tr w:rsidR="002E0A78" w:rsidRPr="002C5D67" w:rsidTr="007E0D78">
        <w:trPr>
          <w:trHeight w:val="20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2398434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19.9%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52865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18.2%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2.2%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83.3%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209782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12.9%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8.7%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84.4%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32678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17.7%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1.4%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103.9%</w:t>
            </w:r>
          </w:p>
        </w:tc>
      </w:tr>
      <w:tr w:rsidR="002E0A78" w:rsidRPr="002C5D67" w:rsidTr="007E0D78">
        <w:trPr>
          <w:trHeight w:val="20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2410684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20.0%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85474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29.4%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3.5%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105.6%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538895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33.2%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22.4%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95.2%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44422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24.1%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1.8%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87.9%</w:t>
            </w:r>
          </w:p>
        </w:tc>
      </w:tr>
    </w:tbl>
    <w:p w:rsidR="00245E43" w:rsidRDefault="00245E43" w:rsidP="001B37AA">
      <w:pPr>
        <w:ind w:rightChars="-451" w:right="-947"/>
        <w:rPr>
          <w:rFonts w:ascii="宋体" w:hAnsi="宋体" w:cs="宋体"/>
          <w:kern w:val="0"/>
          <w:sz w:val="10"/>
          <w:szCs w:val="10"/>
        </w:rPr>
      </w:pPr>
    </w:p>
    <w:p w:rsidR="007E0D78" w:rsidRDefault="007E0D78" w:rsidP="001B37AA">
      <w:pPr>
        <w:ind w:rightChars="-451" w:right="-947"/>
        <w:rPr>
          <w:rFonts w:ascii="宋体" w:hAnsi="宋体" w:cs="宋体"/>
          <w:kern w:val="0"/>
          <w:sz w:val="10"/>
          <w:szCs w:val="10"/>
        </w:rPr>
      </w:pPr>
    </w:p>
    <w:p w:rsidR="007E0D78" w:rsidRPr="002C5D67" w:rsidRDefault="007E0D78" w:rsidP="001B37AA">
      <w:pPr>
        <w:ind w:rightChars="-451" w:right="-947"/>
        <w:rPr>
          <w:rFonts w:ascii="宋体" w:hAnsi="宋体" w:cs="宋体"/>
          <w:kern w:val="0"/>
          <w:sz w:val="10"/>
          <w:szCs w:val="10"/>
        </w:rPr>
      </w:pPr>
    </w:p>
    <w:tbl>
      <w:tblPr>
        <w:tblW w:w="4907" w:type="pct"/>
        <w:jc w:val="center"/>
        <w:tblInd w:w="250" w:type="dxa"/>
        <w:tblLook w:val="04A0"/>
      </w:tblPr>
      <w:tblGrid>
        <w:gridCol w:w="397"/>
        <w:gridCol w:w="1025"/>
        <w:gridCol w:w="1024"/>
        <w:gridCol w:w="725"/>
        <w:gridCol w:w="1319"/>
        <w:gridCol w:w="826"/>
        <w:gridCol w:w="1024"/>
        <w:gridCol w:w="725"/>
        <w:gridCol w:w="1319"/>
        <w:gridCol w:w="826"/>
        <w:gridCol w:w="1024"/>
        <w:gridCol w:w="725"/>
        <w:gridCol w:w="1319"/>
        <w:gridCol w:w="926"/>
      </w:tblGrid>
      <w:tr w:rsidR="001B37AA" w:rsidRPr="002C5D67" w:rsidTr="007E0D78">
        <w:trPr>
          <w:trHeight w:val="20"/>
          <w:jc w:val="center"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lastRenderedPageBreak/>
              <w:t>序号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4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监理合同总额</w:t>
            </w:r>
          </w:p>
        </w:tc>
        <w:tc>
          <w:tcPr>
            <w:tcW w:w="14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总承包合同总额</w:t>
            </w:r>
          </w:p>
        </w:tc>
        <w:tc>
          <w:tcPr>
            <w:tcW w:w="15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其它合同总额</w:t>
            </w:r>
          </w:p>
        </w:tc>
      </w:tr>
      <w:tr w:rsidR="00C749D3" w:rsidRPr="002C5D67" w:rsidTr="007E0D78">
        <w:trPr>
          <w:trHeight w:val="20"/>
          <w:jc w:val="center"/>
        </w:trPr>
        <w:tc>
          <w:tcPr>
            <w:tcW w:w="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7AA" w:rsidRPr="002C5D67" w:rsidRDefault="001B37AA" w:rsidP="001B37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B37AA" w:rsidRPr="002C5D67" w:rsidRDefault="001B37AA" w:rsidP="001B37AA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合同总额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占合同总额%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7AA" w:rsidRPr="002C5D67" w:rsidRDefault="001B37AA" w:rsidP="001B37AA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2E0A78" w:rsidRPr="002C5D67" w:rsidTr="007E0D78">
        <w:trPr>
          <w:trHeight w:val="227"/>
          <w:jc w:val="center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54849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0.5%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99.3%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9858824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82.0%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113.0%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14913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0.1%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14.9%</w:t>
            </w:r>
          </w:p>
        </w:tc>
      </w:tr>
      <w:tr w:rsidR="002E0A78" w:rsidRPr="002C5D67" w:rsidTr="007E0D78">
        <w:trPr>
          <w:trHeight w:val="227"/>
          <w:jc w:val="center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24604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44.9%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0.6%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93.8%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3647240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37.0%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85.7%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116.3%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956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6.4%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203.0%</w:t>
            </w:r>
          </w:p>
        </w:tc>
      </w:tr>
      <w:tr w:rsidR="002E0A78" w:rsidRPr="002C5D67" w:rsidTr="007E0D78">
        <w:trPr>
          <w:trHeight w:val="227"/>
          <w:jc w:val="center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17044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31.1%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0.6%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101.7%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2390942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24.3%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80.7%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87.4%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2799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18.8%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0.1%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96.6%</w:t>
            </w:r>
          </w:p>
        </w:tc>
      </w:tr>
      <w:tr w:rsidR="002E0A78" w:rsidRPr="002C5D67" w:rsidTr="007E0D78">
        <w:trPr>
          <w:trHeight w:val="227"/>
          <w:jc w:val="center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6933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12.6%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0.3%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68.6%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2095393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21.3%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87.4%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137.9%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783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5.3%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0.0%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1.0%</w:t>
            </w:r>
          </w:p>
        </w:tc>
      </w:tr>
      <w:tr w:rsidR="002E0A78" w:rsidRPr="002C5D67" w:rsidTr="007E0D78">
        <w:trPr>
          <w:trHeight w:val="227"/>
          <w:jc w:val="center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1B37AA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6268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11.4%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0.3%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298.5%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1725249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17.5%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71.6%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128.9%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10375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69.6%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0.4%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61.8%</w:t>
            </w:r>
          </w:p>
        </w:tc>
      </w:tr>
    </w:tbl>
    <w:p w:rsidR="001B37AA" w:rsidRDefault="001B37AA" w:rsidP="001B37AA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 w:rsidRPr="002C5D67">
        <w:rPr>
          <w:rFonts w:hint="eastAsia"/>
          <w:b/>
          <w:sz w:val="28"/>
          <w:szCs w:val="28"/>
        </w:rPr>
        <w:t>各类业务新签合同额按集团分类构成分析</w:t>
      </w:r>
    </w:p>
    <w:p w:rsidR="002E0A78" w:rsidRDefault="002E0A78" w:rsidP="007E0D78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8124825" cy="37814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608" cy="378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A2" w:rsidRPr="002C5D67" w:rsidRDefault="003808A2" w:rsidP="003808A2">
      <w:pPr>
        <w:spacing w:line="360" w:lineRule="auto"/>
        <w:rPr>
          <w:rFonts w:ascii="宋体" w:hAnsi="宋体"/>
          <w:b/>
          <w:sz w:val="28"/>
          <w:szCs w:val="28"/>
        </w:rPr>
      </w:pPr>
      <w:r w:rsidRPr="002E360D">
        <w:rPr>
          <w:rFonts w:ascii="宋体" w:hAnsi="宋体" w:hint="eastAsia"/>
          <w:b/>
          <w:sz w:val="28"/>
          <w:szCs w:val="28"/>
        </w:rPr>
        <w:lastRenderedPageBreak/>
        <w:t>2.2境外新签合同额分析</w:t>
      </w:r>
    </w:p>
    <w:p w:rsidR="002E0A78" w:rsidRPr="00BD32DF" w:rsidRDefault="002E0A78" w:rsidP="00BD32DF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BD32DF">
        <w:rPr>
          <w:rFonts w:ascii="宋体" w:hAnsi="宋体" w:hint="eastAsia"/>
          <w:sz w:val="28"/>
          <w:szCs w:val="28"/>
        </w:rPr>
        <w:t>2015年，新签订境外合同总额为280.1亿元，占新签合同总额的23.3%，较去年同期大幅增长9%，海外业务保持继续增长态势。</w:t>
      </w:r>
      <w:r w:rsidR="003808A2" w:rsidRPr="00BD32DF">
        <w:rPr>
          <w:rFonts w:ascii="宋体" w:hAnsi="宋体" w:hint="eastAsia"/>
          <w:sz w:val="28"/>
          <w:szCs w:val="28"/>
        </w:rPr>
        <w:t>其中：</w:t>
      </w:r>
      <w:r w:rsidR="0070219E" w:rsidRPr="00BD32DF">
        <w:rPr>
          <w:rFonts w:ascii="宋体" w:hAnsi="宋体" w:hint="eastAsia"/>
          <w:sz w:val="28"/>
          <w:szCs w:val="28"/>
        </w:rPr>
        <w:t>中电工程</w:t>
      </w:r>
      <w:r w:rsidRPr="00BD32DF">
        <w:rPr>
          <w:rFonts w:ascii="宋体" w:hAnsi="宋体" w:hint="eastAsia"/>
          <w:sz w:val="28"/>
          <w:szCs w:val="28"/>
        </w:rPr>
        <w:t>115.6</w:t>
      </w:r>
      <w:r w:rsidR="0070219E" w:rsidRPr="00BD32DF">
        <w:rPr>
          <w:rFonts w:ascii="宋体" w:hAnsi="宋体" w:hint="eastAsia"/>
          <w:sz w:val="28"/>
          <w:szCs w:val="28"/>
        </w:rPr>
        <w:t>亿</w:t>
      </w:r>
      <w:r w:rsidR="003808A2" w:rsidRPr="00BD32DF">
        <w:rPr>
          <w:rFonts w:ascii="宋体" w:hAnsi="宋体" w:hint="eastAsia"/>
          <w:sz w:val="28"/>
          <w:szCs w:val="28"/>
        </w:rPr>
        <w:t>元，占</w:t>
      </w:r>
      <w:r w:rsidRPr="00BD32DF">
        <w:rPr>
          <w:rFonts w:ascii="宋体" w:hAnsi="宋体" w:hint="eastAsia"/>
          <w:sz w:val="28"/>
          <w:szCs w:val="28"/>
        </w:rPr>
        <w:t>41</w:t>
      </w:r>
      <w:r w:rsidR="003808A2" w:rsidRPr="00BD32DF">
        <w:rPr>
          <w:rFonts w:ascii="宋体" w:hAnsi="宋体" w:hint="eastAsia"/>
          <w:sz w:val="28"/>
          <w:szCs w:val="28"/>
        </w:rPr>
        <w:t>%，较去年同比增长</w:t>
      </w:r>
      <w:r w:rsidR="00675EC9" w:rsidRPr="00BD32DF">
        <w:rPr>
          <w:rFonts w:ascii="宋体" w:hAnsi="宋体" w:hint="eastAsia"/>
          <w:sz w:val="28"/>
          <w:szCs w:val="28"/>
        </w:rPr>
        <w:t>2</w:t>
      </w:r>
      <w:r w:rsidR="005244D3" w:rsidRPr="00BD32DF">
        <w:rPr>
          <w:rFonts w:ascii="宋体" w:hAnsi="宋体" w:hint="eastAsia"/>
          <w:sz w:val="28"/>
          <w:szCs w:val="28"/>
        </w:rPr>
        <w:t>7</w:t>
      </w:r>
      <w:r w:rsidR="003808A2" w:rsidRPr="00BD32DF">
        <w:rPr>
          <w:rFonts w:ascii="宋体" w:hAnsi="宋体" w:hint="eastAsia"/>
          <w:sz w:val="28"/>
          <w:szCs w:val="28"/>
        </w:rPr>
        <w:t>%；</w:t>
      </w:r>
      <w:r w:rsidR="0070219E" w:rsidRPr="00BD32DF">
        <w:rPr>
          <w:rFonts w:ascii="宋体" w:hAnsi="宋体" w:hint="eastAsia"/>
          <w:sz w:val="28"/>
          <w:szCs w:val="28"/>
        </w:rPr>
        <w:t>中能建</w:t>
      </w:r>
      <w:r w:rsidRPr="00BD32DF">
        <w:rPr>
          <w:rFonts w:ascii="宋体" w:hAnsi="宋体" w:hint="eastAsia"/>
          <w:sz w:val="28"/>
          <w:szCs w:val="28"/>
        </w:rPr>
        <w:t>54.39</w:t>
      </w:r>
      <w:r w:rsidR="0070219E" w:rsidRPr="00BD32DF">
        <w:rPr>
          <w:rFonts w:ascii="宋体" w:hAnsi="宋体" w:hint="eastAsia"/>
          <w:sz w:val="28"/>
          <w:szCs w:val="28"/>
        </w:rPr>
        <w:t>亿</w:t>
      </w:r>
      <w:r w:rsidR="003808A2" w:rsidRPr="00BD32DF">
        <w:rPr>
          <w:rFonts w:ascii="宋体" w:hAnsi="宋体" w:hint="eastAsia"/>
          <w:sz w:val="28"/>
          <w:szCs w:val="28"/>
        </w:rPr>
        <w:t>元，占</w:t>
      </w:r>
      <w:r w:rsidRPr="00BD32DF">
        <w:rPr>
          <w:rFonts w:ascii="宋体" w:hAnsi="宋体" w:hint="eastAsia"/>
          <w:sz w:val="28"/>
          <w:szCs w:val="28"/>
        </w:rPr>
        <w:t>19</w:t>
      </w:r>
      <w:r w:rsidR="003808A2" w:rsidRPr="00BD32DF">
        <w:rPr>
          <w:rFonts w:ascii="宋体" w:hAnsi="宋体" w:hint="eastAsia"/>
          <w:sz w:val="28"/>
          <w:szCs w:val="28"/>
        </w:rPr>
        <w:t>%，较去年同比</w:t>
      </w:r>
      <w:r w:rsidRPr="00BD32DF">
        <w:rPr>
          <w:rFonts w:ascii="宋体" w:hAnsi="宋体" w:hint="eastAsia"/>
          <w:sz w:val="28"/>
          <w:szCs w:val="28"/>
        </w:rPr>
        <w:t>减少34</w:t>
      </w:r>
      <w:r w:rsidR="00675EC9" w:rsidRPr="00BD32DF">
        <w:rPr>
          <w:rFonts w:ascii="宋体" w:hAnsi="宋体" w:hint="eastAsia"/>
          <w:sz w:val="28"/>
          <w:szCs w:val="28"/>
        </w:rPr>
        <w:t>%</w:t>
      </w:r>
      <w:r w:rsidR="0070219E" w:rsidRPr="00BD32DF">
        <w:rPr>
          <w:rFonts w:ascii="宋体" w:hAnsi="宋体" w:hint="eastAsia"/>
          <w:sz w:val="28"/>
          <w:szCs w:val="28"/>
        </w:rPr>
        <w:t>；中电建</w:t>
      </w:r>
      <w:r w:rsidRPr="00BD32DF">
        <w:rPr>
          <w:rFonts w:ascii="宋体" w:hAnsi="宋体" w:hint="eastAsia"/>
          <w:sz w:val="28"/>
          <w:szCs w:val="28"/>
        </w:rPr>
        <w:t>97.99</w:t>
      </w:r>
      <w:r w:rsidR="0070219E" w:rsidRPr="00BD32DF">
        <w:rPr>
          <w:rFonts w:ascii="宋体" w:hAnsi="宋体" w:hint="eastAsia"/>
          <w:sz w:val="28"/>
          <w:szCs w:val="28"/>
        </w:rPr>
        <w:t>亿元</w:t>
      </w:r>
      <w:r w:rsidR="00675EC9" w:rsidRPr="00BD32DF">
        <w:rPr>
          <w:rFonts w:ascii="宋体" w:hAnsi="宋体" w:hint="eastAsia"/>
          <w:sz w:val="28"/>
          <w:szCs w:val="28"/>
        </w:rPr>
        <w:t>，占</w:t>
      </w:r>
      <w:r w:rsidRPr="00BD32DF">
        <w:rPr>
          <w:rFonts w:ascii="宋体" w:hAnsi="宋体" w:hint="eastAsia"/>
          <w:sz w:val="28"/>
          <w:szCs w:val="28"/>
        </w:rPr>
        <w:t>35</w:t>
      </w:r>
      <w:r w:rsidR="00675EC9" w:rsidRPr="00BD32DF">
        <w:rPr>
          <w:rFonts w:ascii="宋体" w:hAnsi="宋体" w:hint="eastAsia"/>
          <w:sz w:val="28"/>
          <w:szCs w:val="28"/>
        </w:rPr>
        <w:t>%</w:t>
      </w:r>
      <w:r w:rsidR="0070219E" w:rsidRPr="00BD32DF">
        <w:rPr>
          <w:rFonts w:ascii="宋体" w:hAnsi="宋体" w:hint="eastAsia"/>
          <w:sz w:val="28"/>
          <w:szCs w:val="28"/>
        </w:rPr>
        <w:t>，较去年</w:t>
      </w:r>
      <w:r w:rsidR="00675EC9" w:rsidRPr="00BD32DF">
        <w:rPr>
          <w:rFonts w:ascii="宋体" w:hAnsi="宋体" w:hint="eastAsia"/>
          <w:sz w:val="28"/>
          <w:szCs w:val="28"/>
        </w:rPr>
        <w:t>同期增长</w:t>
      </w:r>
      <w:r w:rsidRPr="00BD32DF">
        <w:rPr>
          <w:rFonts w:ascii="宋体" w:hAnsi="宋体" w:hint="eastAsia"/>
          <w:sz w:val="28"/>
          <w:szCs w:val="28"/>
        </w:rPr>
        <w:t>125%</w:t>
      </w:r>
      <w:r w:rsidR="0070219E" w:rsidRPr="00BD32DF">
        <w:rPr>
          <w:rFonts w:ascii="宋体" w:hAnsi="宋体" w:hint="eastAsia"/>
          <w:sz w:val="28"/>
          <w:szCs w:val="28"/>
        </w:rPr>
        <w:t>；其它</w:t>
      </w:r>
      <w:r w:rsidRPr="00BD32DF">
        <w:rPr>
          <w:rFonts w:ascii="宋体" w:hAnsi="宋体" w:hint="eastAsia"/>
          <w:sz w:val="28"/>
          <w:szCs w:val="28"/>
        </w:rPr>
        <w:t>12.11</w:t>
      </w:r>
      <w:r w:rsidR="0070219E" w:rsidRPr="00BD32DF">
        <w:rPr>
          <w:rFonts w:ascii="宋体" w:hAnsi="宋体" w:hint="eastAsia"/>
          <w:sz w:val="28"/>
          <w:szCs w:val="28"/>
        </w:rPr>
        <w:t>亿元</w:t>
      </w:r>
      <w:r w:rsidR="00675EC9" w:rsidRPr="00BD32DF">
        <w:rPr>
          <w:rFonts w:ascii="宋体" w:hAnsi="宋体" w:hint="eastAsia"/>
          <w:sz w:val="28"/>
          <w:szCs w:val="28"/>
        </w:rPr>
        <w:t>，占</w:t>
      </w:r>
      <w:r w:rsidRPr="00BD32DF">
        <w:rPr>
          <w:rFonts w:ascii="宋体" w:hAnsi="宋体" w:hint="eastAsia"/>
          <w:sz w:val="28"/>
          <w:szCs w:val="28"/>
        </w:rPr>
        <w:t>4</w:t>
      </w:r>
      <w:r w:rsidR="00675EC9" w:rsidRPr="00BD32DF">
        <w:rPr>
          <w:rFonts w:ascii="宋体" w:hAnsi="宋体" w:hint="eastAsia"/>
          <w:sz w:val="28"/>
          <w:szCs w:val="28"/>
        </w:rPr>
        <w:t>%</w:t>
      </w:r>
      <w:r w:rsidR="0070219E" w:rsidRPr="00BD32DF">
        <w:rPr>
          <w:rFonts w:ascii="宋体" w:hAnsi="宋体" w:hint="eastAsia"/>
          <w:sz w:val="28"/>
          <w:szCs w:val="28"/>
        </w:rPr>
        <w:t>，较去年同期</w:t>
      </w:r>
      <w:r w:rsidRPr="00BD32DF">
        <w:rPr>
          <w:rFonts w:ascii="宋体" w:hAnsi="宋体" w:hint="eastAsia"/>
          <w:sz w:val="28"/>
          <w:szCs w:val="28"/>
        </w:rPr>
        <w:t>减少71</w:t>
      </w:r>
      <w:r w:rsidR="00675EC9" w:rsidRPr="00BD32DF">
        <w:rPr>
          <w:rFonts w:ascii="宋体" w:hAnsi="宋体" w:hint="eastAsia"/>
          <w:sz w:val="28"/>
          <w:szCs w:val="28"/>
        </w:rPr>
        <w:t>%</w:t>
      </w:r>
      <w:r w:rsidR="003808A2" w:rsidRPr="00BD32DF">
        <w:rPr>
          <w:rFonts w:ascii="宋体" w:hAnsi="宋体" w:hint="eastAsia"/>
          <w:sz w:val="28"/>
          <w:szCs w:val="28"/>
        </w:rPr>
        <w:t>。</w:t>
      </w:r>
      <w:r w:rsidRPr="00BD32DF">
        <w:rPr>
          <w:rFonts w:ascii="宋体" w:hAnsi="宋体" w:hint="eastAsia"/>
          <w:sz w:val="28"/>
          <w:szCs w:val="28"/>
        </w:rPr>
        <w:t>在业务类型构成中总承包业务具有绝对优势，占境外合同额的9</w:t>
      </w:r>
      <w:r w:rsidR="005244D3" w:rsidRPr="00BD32DF">
        <w:rPr>
          <w:rFonts w:ascii="宋体" w:hAnsi="宋体" w:hint="eastAsia"/>
          <w:sz w:val="28"/>
          <w:szCs w:val="28"/>
        </w:rPr>
        <w:t>4.7</w:t>
      </w:r>
      <w:r w:rsidRPr="00BD32DF">
        <w:rPr>
          <w:rFonts w:ascii="宋体" w:hAnsi="宋体" w:hint="eastAsia"/>
          <w:sz w:val="28"/>
          <w:szCs w:val="28"/>
        </w:rPr>
        <w:t>%，同比增加10%；勘测设计咨询业务较去年同比减低22.9个百分点，占境外合同额5%。</w:t>
      </w:r>
    </w:p>
    <w:p w:rsidR="00A4351F" w:rsidRPr="002C5D67" w:rsidRDefault="00A4351F" w:rsidP="00487FDD">
      <w:pPr>
        <w:spacing w:line="360" w:lineRule="auto"/>
        <w:ind w:firstLineChars="200" w:firstLine="602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境外合同额构成分析</w:t>
      </w:r>
      <w:r w:rsidR="001016AC" w:rsidRPr="002C5D67">
        <w:rPr>
          <w:rFonts w:ascii="宋体" w:hAnsi="宋体" w:hint="eastAsia"/>
          <w:b/>
          <w:noProof/>
          <w:sz w:val="30"/>
          <w:szCs w:val="30"/>
        </w:rPr>
        <w:t>（单位：万元）</w:t>
      </w:r>
    </w:p>
    <w:tbl>
      <w:tblPr>
        <w:tblW w:w="4854" w:type="pct"/>
        <w:jc w:val="center"/>
        <w:tblInd w:w="392" w:type="dxa"/>
        <w:tblLook w:val="04A0"/>
      </w:tblPr>
      <w:tblGrid>
        <w:gridCol w:w="397"/>
        <w:gridCol w:w="936"/>
        <w:gridCol w:w="902"/>
        <w:gridCol w:w="656"/>
        <w:gridCol w:w="709"/>
        <w:gridCol w:w="783"/>
        <w:gridCol w:w="657"/>
        <w:gridCol w:w="963"/>
        <w:gridCol w:w="678"/>
        <w:gridCol w:w="830"/>
        <w:gridCol w:w="799"/>
        <w:gridCol w:w="929"/>
        <w:gridCol w:w="712"/>
        <w:gridCol w:w="806"/>
        <w:gridCol w:w="576"/>
        <w:gridCol w:w="869"/>
        <w:gridCol w:w="859"/>
      </w:tblGrid>
      <w:tr w:rsidR="002343EF" w:rsidRPr="002C5D67" w:rsidTr="00BD32DF">
        <w:trPr>
          <w:trHeight w:val="239"/>
          <w:jc w:val="center"/>
        </w:trPr>
        <w:tc>
          <w:tcPr>
            <w:tcW w:w="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87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11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勘测境外合同额</w:t>
            </w:r>
          </w:p>
        </w:tc>
        <w:tc>
          <w:tcPr>
            <w:tcW w:w="12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设计境外合同额</w:t>
            </w:r>
          </w:p>
        </w:tc>
        <w:tc>
          <w:tcPr>
            <w:tcW w:w="11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咨询境外合同额</w:t>
            </w:r>
          </w:p>
        </w:tc>
      </w:tr>
      <w:tr w:rsidR="00BD32DF" w:rsidRPr="002C5D67" w:rsidTr="00BD32DF">
        <w:trPr>
          <w:trHeight w:val="600"/>
          <w:jc w:val="center"/>
        </w:trPr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3EF" w:rsidRPr="002C5D67" w:rsidRDefault="002343EF" w:rsidP="002343E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3EF" w:rsidRPr="002C5D67" w:rsidRDefault="002343EF" w:rsidP="002343E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2801179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10338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48%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125516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90%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5434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0.19%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374%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1156305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41%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127%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5760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56%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83597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67%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7%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0.02%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543936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66%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48%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5752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1460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0.27%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336%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979865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35%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225%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473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7185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6%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59%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2851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52%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0.29%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287%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1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C5D67" w:rsidRDefault="002E0A78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121073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3817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451%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28982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23%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259%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875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0.72%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A78" w:rsidRPr="002E0A78" w:rsidRDefault="002E0A78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E0A78">
              <w:rPr>
                <w:rFonts w:asciiTheme="minorEastAsia" w:eastAsiaTheme="minorEastAsia" w:hAnsiTheme="minorEastAsia" w:hint="eastAsia"/>
                <w:sz w:val="18"/>
                <w:szCs w:val="18"/>
              </w:rPr>
              <w:t>3500%</w:t>
            </w:r>
          </w:p>
        </w:tc>
      </w:tr>
    </w:tbl>
    <w:p w:rsidR="00BD32DF" w:rsidRPr="002C5D67" w:rsidRDefault="00BD32DF" w:rsidP="002343EF">
      <w:pPr>
        <w:rPr>
          <w:rFonts w:ascii="宋体" w:hAnsi="宋体"/>
          <w:b/>
          <w:noProof/>
          <w:sz w:val="10"/>
          <w:szCs w:val="10"/>
        </w:rPr>
      </w:pPr>
    </w:p>
    <w:tbl>
      <w:tblPr>
        <w:tblW w:w="4804" w:type="pct"/>
        <w:jc w:val="center"/>
        <w:tblInd w:w="365" w:type="dxa"/>
        <w:tblLook w:val="04A0"/>
      </w:tblPr>
      <w:tblGrid>
        <w:gridCol w:w="578"/>
        <w:gridCol w:w="934"/>
        <w:gridCol w:w="766"/>
        <w:gridCol w:w="786"/>
        <w:gridCol w:w="876"/>
        <w:gridCol w:w="869"/>
        <w:gridCol w:w="982"/>
        <w:gridCol w:w="716"/>
        <w:gridCol w:w="985"/>
        <w:gridCol w:w="993"/>
        <w:gridCol w:w="913"/>
        <w:gridCol w:w="1231"/>
        <w:gridCol w:w="1233"/>
        <w:gridCol w:w="1065"/>
      </w:tblGrid>
      <w:tr w:rsidR="002343EF" w:rsidRPr="002C5D67" w:rsidTr="00BD32DF">
        <w:trPr>
          <w:trHeight w:val="309"/>
          <w:jc w:val="center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2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监理境外合同额</w:t>
            </w:r>
          </w:p>
        </w:tc>
        <w:tc>
          <w:tcPr>
            <w:tcW w:w="14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总承包境外合同额</w:t>
            </w:r>
          </w:p>
        </w:tc>
        <w:tc>
          <w:tcPr>
            <w:tcW w:w="171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其它境外合同额</w:t>
            </w:r>
          </w:p>
        </w:tc>
      </w:tr>
      <w:tr w:rsidR="00BD32DF" w:rsidRPr="002C5D67" w:rsidTr="00BD32DF">
        <w:trPr>
          <w:trHeight w:val="600"/>
          <w:jc w:val="center"/>
        </w:trPr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3EF" w:rsidRPr="002C5D67" w:rsidRDefault="002343EF" w:rsidP="002343E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43EF" w:rsidRPr="002C5D67" w:rsidRDefault="002343EF" w:rsidP="002343EF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境外合同额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占境外合同额%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43EF" w:rsidRPr="002C5D67" w:rsidRDefault="002343EF" w:rsidP="002343E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6615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0.24%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204%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2652524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94.7%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110%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753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0.03%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BD32DF" w:rsidRDefault="00C47F69" w:rsidP="002343EF">
            <w:pPr>
              <w:widowControl/>
              <w:jc w:val="left"/>
              <w:rPr>
                <w:rFonts w:ascii="宋体" w:hAnsi="宋体" w:cs="宋体"/>
                <w:spacing w:val="-20"/>
                <w:kern w:val="0"/>
                <w:sz w:val="18"/>
                <w:szCs w:val="18"/>
              </w:rPr>
            </w:pPr>
            <w:r w:rsidRPr="00BD32DF">
              <w:rPr>
                <w:rFonts w:ascii="宋体" w:hAnsi="宋体" w:cs="宋体" w:hint="eastAsia"/>
                <w:spacing w:val="-20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6615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0.57%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204%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1060085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40%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132%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536436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68%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968604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99%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230%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  <w:tr w:rsidR="00BD32DF" w:rsidRPr="002C5D67" w:rsidTr="00BD32DF">
        <w:trPr>
          <w:trHeight w:val="20"/>
          <w:jc w:val="center"/>
        </w:trPr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2C5D67" w:rsidRDefault="00C47F69" w:rsidP="002343E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0%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0.00%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87400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3%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72%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753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>0.62%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F69" w:rsidRPr="00C47F69" w:rsidRDefault="00C47F69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C47F69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</w:p>
        </w:tc>
      </w:tr>
    </w:tbl>
    <w:p w:rsidR="002343EF" w:rsidRPr="002C5D67" w:rsidRDefault="002343EF" w:rsidP="002343EF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各类业务境外合同额按所属集团构成饼图</w:t>
      </w:r>
    </w:p>
    <w:p w:rsidR="003808A2" w:rsidRPr="002C5D67" w:rsidRDefault="00CB5A17" w:rsidP="00BD32DF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771775" cy="1990725"/>
            <wp:effectExtent l="19050" t="0" r="9525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47975" cy="1933575"/>
            <wp:effectExtent l="19050" t="0" r="9525" b="0"/>
            <wp:docPr id="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705100" cy="1933575"/>
            <wp:effectExtent l="19050" t="0" r="19050" b="0"/>
            <wp:docPr id="29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3808A2" w:rsidRPr="002C5D67" w:rsidRDefault="003808A2" w:rsidP="00A77213">
      <w:pPr>
        <w:ind w:rightChars="-451" w:right="-947"/>
        <w:rPr>
          <w:rFonts w:ascii="宋体" w:hAnsi="宋体" w:cs="宋体"/>
          <w:kern w:val="0"/>
          <w:sz w:val="10"/>
          <w:szCs w:val="10"/>
        </w:rPr>
      </w:pPr>
    </w:p>
    <w:p w:rsidR="003808A2" w:rsidRPr="002C5D67" w:rsidRDefault="00CB5A17" w:rsidP="00BD32DF">
      <w:pPr>
        <w:ind w:rightChars="-451" w:right="-947" w:firstLineChars="50" w:firstLine="140"/>
        <w:rPr>
          <w:rFonts w:ascii="宋体" w:hAnsi="宋体" w:cs="宋体"/>
          <w:kern w:val="0"/>
          <w:sz w:val="28"/>
          <w:szCs w:val="28"/>
        </w:rPr>
      </w:pP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686050" cy="2038350"/>
            <wp:effectExtent l="19050" t="0" r="19050" b="0"/>
            <wp:docPr id="53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47975" cy="2038350"/>
            <wp:effectExtent l="19050" t="0" r="9525" b="0"/>
            <wp:docPr id="6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  <w:r w:rsidRPr="00CB5A1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714625" cy="2038350"/>
            <wp:effectExtent l="19050" t="0" r="9525" b="0"/>
            <wp:docPr id="70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093D6E" w:rsidRPr="002E360D" w:rsidRDefault="00A2383F">
      <w:pPr>
        <w:pStyle w:val="3"/>
        <w:numPr>
          <w:ilvl w:val="0"/>
          <w:numId w:val="10"/>
        </w:numPr>
        <w:spacing w:line="276" w:lineRule="auto"/>
        <w:rPr>
          <w:rFonts w:ascii="宋体" w:hAnsi="宋体"/>
          <w:sz w:val="28"/>
          <w:szCs w:val="28"/>
        </w:rPr>
      </w:pPr>
      <w:bookmarkStart w:id="62" w:name="_Toc450668469"/>
      <w:r w:rsidRPr="002E360D">
        <w:rPr>
          <w:rFonts w:ascii="宋体" w:hAnsi="宋体" w:hint="eastAsia"/>
          <w:sz w:val="28"/>
          <w:szCs w:val="28"/>
        </w:rPr>
        <w:lastRenderedPageBreak/>
        <w:t>完成产值情况分析</w:t>
      </w:r>
      <w:bookmarkEnd w:id="62"/>
    </w:p>
    <w:p w:rsidR="00093D6E" w:rsidRDefault="00A2383F">
      <w:pPr>
        <w:rPr>
          <w:rFonts w:ascii="宋体" w:hAnsi="宋体"/>
          <w:sz w:val="28"/>
          <w:szCs w:val="28"/>
        </w:rPr>
      </w:pPr>
      <w:r w:rsidRPr="002C5D67">
        <w:rPr>
          <w:rFonts w:ascii="宋体" w:hAnsi="宋体" w:hint="eastAsia"/>
          <w:sz w:val="28"/>
          <w:szCs w:val="28"/>
        </w:rPr>
        <w:t xml:space="preserve">    201</w:t>
      </w:r>
      <w:r w:rsidR="005F6338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年，完成产值总额为</w:t>
      </w:r>
      <w:r w:rsidR="005F6338">
        <w:rPr>
          <w:rFonts w:ascii="宋体" w:hAnsi="宋体" w:hint="eastAsia"/>
          <w:sz w:val="28"/>
          <w:szCs w:val="28"/>
        </w:rPr>
        <w:t>245.29</w:t>
      </w:r>
      <w:r w:rsidR="009A3D08" w:rsidRPr="002C5D67">
        <w:rPr>
          <w:rFonts w:ascii="宋体" w:hAnsi="宋体" w:hint="eastAsia"/>
          <w:sz w:val="28"/>
          <w:szCs w:val="28"/>
        </w:rPr>
        <w:t>亿</w:t>
      </w:r>
      <w:r w:rsidRPr="002C5D67">
        <w:rPr>
          <w:rFonts w:ascii="宋体" w:hAnsi="宋体" w:hint="eastAsia"/>
          <w:sz w:val="28"/>
          <w:szCs w:val="28"/>
        </w:rPr>
        <w:t>元,同比</w:t>
      </w:r>
      <w:r w:rsidR="007F56B5" w:rsidRPr="002C5D67">
        <w:rPr>
          <w:rFonts w:ascii="宋体" w:hAnsi="宋体" w:hint="eastAsia"/>
          <w:sz w:val="28"/>
          <w:szCs w:val="28"/>
        </w:rPr>
        <w:t>减少</w:t>
      </w:r>
      <w:r w:rsidR="005F6338">
        <w:rPr>
          <w:rFonts w:ascii="宋体" w:hAnsi="宋体" w:hint="eastAsia"/>
          <w:sz w:val="28"/>
          <w:szCs w:val="28"/>
        </w:rPr>
        <w:t>2</w:t>
      </w:r>
      <w:r w:rsidRPr="002C5D67">
        <w:rPr>
          <w:rFonts w:ascii="宋体" w:hAnsi="宋体" w:hint="eastAsia"/>
          <w:sz w:val="28"/>
          <w:szCs w:val="28"/>
        </w:rPr>
        <w:t>%。其中：</w:t>
      </w:r>
      <w:r w:rsidR="009A3D08" w:rsidRPr="002C5D67">
        <w:rPr>
          <w:rFonts w:ascii="宋体" w:hAnsi="宋体" w:hint="eastAsia"/>
          <w:sz w:val="28"/>
          <w:szCs w:val="28"/>
        </w:rPr>
        <w:t>中电工程</w:t>
      </w:r>
      <w:r w:rsidR="005F6338">
        <w:rPr>
          <w:rFonts w:ascii="宋体" w:hAnsi="宋体" w:hint="eastAsia"/>
          <w:sz w:val="28"/>
          <w:szCs w:val="28"/>
        </w:rPr>
        <w:t>72.21</w:t>
      </w:r>
      <w:r w:rsidR="009A3D08" w:rsidRPr="002C5D67">
        <w:rPr>
          <w:rFonts w:ascii="宋体" w:hAnsi="宋体" w:hint="eastAsia"/>
          <w:sz w:val="28"/>
          <w:szCs w:val="28"/>
        </w:rPr>
        <w:t>亿</w:t>
      </w:r>
      <w:r w:rsidRPr="002C5D67">
        <w:rPr>
          <w:rFonts w:ascii="宋体" w:hAnsi="宋体" w:hint="eastAsia"/>
          <w:sz w:val="28"/>
          <w:szCs w:val="28"/>
        </w:rPr>
        <w:t>元，</w:t>
      </w:r>
      <w:r w:rsidR="007F56B5" w:rsidRPr="002C5D67">
        <w:rPr>
          <w:rFonts w:ascii="宋体" w:hAnsi="宋体" w:hint="eastAsia"/>
          <w:sz w:val="28"/>
          <w:szCs w:val="28"/>
        </w:rPr>
        <w:t>减少9</w:t>
      </w:r>
      <w:r w:rsidRPr="002C5D67">
        <w:rPr>
          <w:rFonts w:ascii="宋体" w:hAnsi="宋体" w:hint="eastAsia"/>
          <w:sz w:val="28"/>
          <w:szCs w:val="28"/>
        </w:rPr>
        <w:t>%，占</w:t>
      </w:r>
      <w:r w:rsidR="005F6338">
        <w:rPr>
          <w:rFonts w:ascii="宋体" w:hAnsi="宋体" w:hint="eastAsia"/>
          <w:sz w:val="28"/>
          <w:szCs w:val="28"/>
        </w:rPr>
        <w:t>29</w:t>
      </w:r>
      <w:r w:rsidRPr="002C5D67">
        <w:rPr>
          <w:rFonts w:ascii="宋体" w:hAnsi="宋体" w:hint="eastAsia"/>
          <w:sz w:val="28"/>
          <w:szCs w:val="28"/>
        </w:rPr>
        <w:t>%；</w:t>
      </w:r>
      <w:r w:rsidR="009A3D08" w:rsidRPr="002C5D67">
        <w:rPr>
          <w:rFonts w:ascii="宋体" w:hAnsi="宋体" w:hint="eastAsia"/>
          <w:sz w:val="28"/>
          <w:szCs w:val="28"/>
        </w:rPr>
        <w:t>中能建</w:t>
      </w:r>
      <w:r w:rsidR="005F6338">
        <w:rPr>
          <w:rFonts w:ascii="宋体" w:hAnsi="宋体" w:hint="eastAsia"/>
          <w:sz w:val="28"/>
          <w:szCs w:val="28"/>
        </w:rPr>
        <w:t>70.88</w:t>
      </w:r>
      <w:r w:rsidR="009A3D08" w:rsidRPr="002C5D67">
        <w:rPr>
          <w:rFonts w:ascii="宋体" w:hAnsi="宋体" w:hint="eastAsia"/>
          <w:sz w:val="28"/>
          <w:szCs w:val="28"/>
        </w:rPr>
        <w:t>亿</w:t>
      </w:r>
      <w:r w:rsidRPr="002C5D67">
        <w:rPr>
          <w:rFonts w:ascii="宋体" w:hAnsi="宋体" w:hint="eastAsia"/>
          <w:sz w:val="28"/>
          <w:szCs w:val="28"/>
        </w:rPr>
        <w:t>元，</w:t>
      </w:r>
      <w:r w:rsidR="005F6338">
        <w:rPr>
          <w:rFonts w:ascii="宋体" w:hAnsi="宋体" w:hint="eastAsia"/>
          <w:sz w:val="28"/>
          <w:szCs w:val="28"/>
        </w:rPr>
        <w:t>增</w:t>
      </w:r>
      <w:r w:rsidR="00D342E2">
        <w:rPr>
          <w:rFonts w:ascii="宋体" w:hAnsi="宋体" w:hint="eastAsia"/>
          <w:sz w:val="28"/>
          <w:szCs w:val="28"/>
        </w:rPr>
        <w:t>长</w:t>
      </w:r>
      <w:r w:rsidR="005F6338">
        <w:rPr>
          <w:rFonts w:ascii="宋体" w:hAnsi="宋体" w:hint="eastAsia"/>
          <w:sz w:val="28"/>
          <w:szCs w:val="28"/>
        </w:rPr>
        <w:t>3</w:t>
      </w:r>
      <w:r w:rsidRPr="002C5D67">
        <w:rPr>
          <w:rFonts w:ascii="宋体" w:hAnsi="宋体" w:hint="eastAsia"/>
          <w:sz w:val="28"/>
          <w:szCs w:val="28"/>
        </w:rPr>
        <w:t>%，占</w:t>
      </w:r>
      <w:r w:rsidR="009A3D08" w:rsidRPr="002C5D67">
        <w:rPr>
          <w:rFonts w:ascii="宋体" w:hAnsi="宋体" w:hint="eastAsia"/>
          <w:sz w:val="28"/>
          <w:szCs w:val="28"/>
        </w:rPr>
        <w:t>2</w:t>
      </w:r>
      <w:r w:rsidR="005F6338">
        <w:rPr>
          <w:rFonts w:ascii="宋体" w:hAnsi="宋体" w:hint="eastAsia"/>
          <w:sz w:val="28"/>
          <w:szCs w:val="28"/>
        </w:rPr>
        <w:t>9</w:t>
      </w:r>
      <w:r w:rsidRPr="002C5D67">
        <w:rPr>
          <w:rFonts w:ascii="宋体" w:hAnsi="宋体" w:hint="eastAsia"/>
          <w:sz w:val="28"/>
          <w:szCs w:val="28"/>
        </w:rPr>
        <w:t>%；</w:t>
      </w:r>
      <w:r w:rsidR="009A3D08" w:rsidRPr="002C5D67">
        <w:rPr>
          <w:rFonts w:ascii="宋体" w:hAnsi="宋体" w:hint="eastAsia"/>
          <w:sz w:val="28"/>
          <w:szCs w:val="28"/>
        </w:rPr>
        <w:t>中电建</w:t>
      </w:r>
      <w:r w:rsidR="005F6338">
        <w:rPr>
          <w:rFonts w:ascii="宋体" w:hAnsi="宋体" w:hint="eastAsia"/>
          <w:sz w:val="28"/>
          <w:szCs w:val="28"/>
        </w:rPr>
        <w:t>36.55</w:t>
      </w:r>
      <w:r w:rsidR="009A3D08" w:rsidRPr="002C5D67">
        <w:rPr>
          <w:rFonts w:ascii="宋体" w:hAnsi="宋体" w:hint="eastAsia"/>
          <w:sz w:val="28"/>
          <w:szCs w:val="28"/>
        </w:rPr>
        <w:t>亿</w:t>
      </w:r>
      <w:r w:rsidRPr="002C5D67">
        <w:rPr>
          <w:rFonts w:ascii="宋体" w:hAnsi="宋体" w:hint="eastAsia"/>
          <w:sz w:val="28"/>
          <w:szCs w:val="28"/>
        </w:rPr>
        <w:t>元，</w:t>
      </w:r>
      <w:r w:rsidR="009A3D08" w:rsidRPr="002C5D67">
        <w:rPr>
          <w:rFonts w:ascii="宋体" w:hAnsi="宋体" w:hint="eastAsia"/>
          <w:sz w:val="28"/>
          <w:szCs w:val="28"/>
        </w:rPr>
        <w:t>增长</w:t>
      </w:r>
      <w:r w:rsidR="005F6338">
        <w:rPr>
          <w:rFonts w:ascii="宋体" w:hAnsi="宋体" w:hint="eastAsia"/>
          <w:sz w:val="28"/>
          <w:szCs w:val="28"/>
        </w:rPr>
        <w:t>6</w:t>
      </w:r>
      <w:r w:rsidRPr="002C5D67">
        <w:rPr>
          <w:rFonts w:ascii="宋体" w:hAnsi="宋体" w:hint="eastAsia"/>
          <w:sz w:val="28"/>
          <w:szCs w:val="28"/>
        </w:rPr>
        <w:t>%，占</w:t>
      </w:r>
      <w:r w:rsidR="007F56B5" w:rsidRPr="002C5D67">
        <w:rPr>
          <w:rFonts w:ascii="宋体" w:hAnsi="宋体" w:hint="eastAsia"/>
          <w:sz w:val="28"/>
          <w:szCs w:val="28"/>
        </w:rPr>
        <w:t>1</w:t>
      </w:r>
      <w:r w:rsidR="005F6338">
        <w:rPr>
          <w:rFonts w:ascii="宋体" w:hAnsi="宋体" w:hint="eastAsia"/>
          <w:sz w:val="28"/>
          <w:szCs w:val="28"/>
        </w:rPr>
        <w:t>5</w:t>
      </w:r>
      <w:r w:rsidRPr="002C5D67">
        <w:rPr>
          <w:rFonts w:ascii="宋体" w:hAnsi="宋体" w:hint="eastAsia"/>
          <w:sz w:val="28"/>
          <w:szCs w:val="28"/>
        </w:rPr>
        <w:t>%</w:t>
      </w:r>
      <w:r w:rsidR="009A3D08" w:rsidRPr="002C5D67">
        <w:rPr>
          <w:rFonts w:ascii="宋体" w:hAnsi="宋体" w:hint="eastAsia"/>
          <w:sz w:val="28"/>
          <w:szCs w:val="28"/>
        </w:rPr>
        <w:t>；其它</w:t>
      </w:r>
      <w:r w:rsidR="005F6338">
        <w:rPr>
          <w:rFonts w:ascii="宋体" w:hAnsi="宋体" w:hint="eastAsia"/>
          <w:sz w:val="28"/>
          <w:szCs w:val="28"/>
        </w:rPr>
        <w:t>65.65</w:t>
      </w:r>
      <w:r w:rsidR="009A3D08" w:rsidRPr="002C5D67">
        <w:rPr>
          <w:rFonts w:ascii="宋体" w:hAnsi="宋体" w:hint="eastAsia"/>
          <w:sz w:val="28"/>
          <w:szCs w:val="28"/>
        </w:rPr>
        <w:t>亿元</w:t>
      </w:r>
      <w:r w:rsidR="007F56B5" w:rsidRPr="002C5D67">
        <w:rPr>
          <w:rFonts w:ascii="宋体" w:hAnsi="宋体" w:hint="eastAsia"/>
          <w:sz w:val="28"/>
          <w:szCs w:val="28"/>
        </w:rPr>
        <w:t>，减少</w:t>
      </w:r>
      <w:r w:rsidR="008844AC" w:rsidRPr="002C5D67">
        <w:rPr>
          <w:rFonts w:ascii="宋体" w:hAnsi="宋体" w:hint="eastAsia"/>
          <w:sz w:val="28"/>
          <w:szCs w:val="28"/>
        </w:rPr>
        <w:t>3</w:t>
      </w:r>
      <w:r w:rsidR="009A3D08" w:rsidRPr="002C5D67">
        <w:rPr>
          <w:rFonts w:ascii="宋体" w:hAnsi="宋体" w:hint="eastAsia"/>
          <w:sz w:val="28"/>
          <w:szCs w:val="28"/>
        </w:rPr>
        <w:t>%，占</w:t>
      </w:r>
      <w:r w:rsidR="007F56B5" w:rsidRPr="002C5D67">
        <w:rPr>
          <w:rFonts w:ascii="宋体" w:hAnsi="宋体" w:hint="eastAsia"/>
          <w:sz w:val="28"/>
          <w:szCs w:val="28"/>
        </w:rPr>
        <w:t>27</w:t>
      </w:r>
      <w:r w:rsidR="009A3D08" w:rsidRPr="002C5D67">
        <w:rPr>
          <w:rFonts w:ascii="宋体" w:hAnsi="宋体" w:hint="eastAsia"/>
          <w:sz w:val="28"/>
          <w:szCs w:val="28"/>
        </w:rPr>
        <w:t>%</w:t>
      </w:r>
      <w:r w:rsidRPr="002C5D67">
        <w:rPr>
          <w:rFonts w:ascii="宋体" w:hAnsi="宋体" w:hint="eastAsia"/>
          <w:sz w:val="28"/>
          <w:szCs w:val="28"/>
        </w:rPr>
        <w:t>。勘测设计咨询传统业务占</w:t>
      </w:r>
      <w:r w:rsidR="005F6338">
        <w:rPr>
          <w:rFonts w:ascii="宋体" w:hAnsi="宋体" w:hint="eastAsia"/>
          <w:sz w:val="28"/>
          <w:szCs w:val="28"/>
        </w:rPr>
        <w:t>89.2</w:t>
      </w:r>
      <w:r w:rsidRPr="002C5D67">
        <w:rPr>
          <w:rFonts w:ascii="宋体" w:hAnsi="宋体" w:hint="eastAsia"/>
          <w:sz w:val="28"/>
          <w:szCs w:val="28"/>
        </w:rPr>
        <w:t>%，总承包管理占8%</w:t>
      </w:r>
      <w:r w:rsidR="00EE20B7" w:rsidRPr="002C5D67">
        <w:rPr>
          <w:rFonts w:ascii="宋体" w:hAnsi="宋体" w:hint="eastAsia"/>
          <w:sz w:val="24"/>
        </w:rPr>
        <w:t>（</w:t>
      </w:r>
      <w:r w:rsidR="000B773C" w:rsidRPr="000B773C">
        <w:rPr>
          <w:rFonts w:ascii="宋体" w:hAnsi="宋体" w:hint="eastAsia"/>
          <w:sz w:val="28"/>
          <w:szCs w:val="28"/>
        </w:rPr>
        <w:t>总承包产值按总承包合同中所计列的项目管理费统计）</w:t>
      </w:r>
      <w:r w:rsidRPr="002C5D67">
        <w:rPr>
          <w:rFonts w:ascii="宋体" w:hAnsi="宋体" w:hint="eastAsia"/>
          <w:sz w:val="28"/>
          <w:szCs w:val="28"/>
        </w:rPr>
        <w:t>。</w:t>
      </w:r>
    </w:p>
    <w:p w:rsidR="00093D6E" w:rsidRDefault="009A3D08">
      <w:pPr>
        <w:spacing w:line="276" w:lineRule="auto"/>
        <w:ind w:firstLineChars="200" w:firstLine="562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201</w:t>
      </w:r>
      <w:r w:rsidR="005F6338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年完成产值按所属集团情况分析</w:t>
      </w:r>
      <w:r w:rsidR="00797108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0" w:type="auto"/>
        <w:tblLook w:val="04A0"/>
      </w:tblPr>
      <w:tblGrid>
        <w:gridCol w:w="578"/>
        <w:gridCol w:w="939"/>
        <w:gridCol w:w="916"/>
        <w:gridCol w:w="616"/>
        <w:gridCol w:w="616"/>
        <w:gridCol w:w="816"/>
        <w:gridCol w:w="616"/>
        <w:gridCol w:w="1030"/>
        <w:gridCol w:w="616"/>
        <w:gridCol w:w="916"/>
        <w:gridCol w:w="616"/>
        <w:gridCol w:w="1030"/>
        <w:gridCol w:w="616"/>
        <w:gridCol w:w="816"/>
        <w:gridCol w:w="616"/>
        <w:gridCol w:w="1030"/>
        <w:gridCol w:w="616"/>
      </w:tblGrid>
      <w:tr w:rsidR="00E15363" w:rsidRPr="00E15363" w:rsidTr="002E6C35">
        <w:trPr>
          <w:trHeight w:val="28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完成总产值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勘测产值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设计产值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咨询产值</w:t>
            </w:r>
          </w:p>
        </w:tc>
      </w:tr>
      <w:tr w:rsidR="00715348" w:rsidRPr="00E15363" w:rsidTr="002E6C35">
        <w:trPr>
          <w:trHeight w:val="2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363" w:rsidRPr="00E15363" w:rsidRDefault="00E15363" w:rsidP="00E15363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5363" w:rsidRPr="00E15363" w:rsidRDefault="00E15363" w:rsidP="00E15363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363" w:rsidRPr="00E15363" w:rsidRDefault="00E15363" w:rsidP="00E1536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5F6338" w:rsidRPr="00E15363" w:rsidTr="002E6C35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E15363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2452945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314039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1612232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262531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93%</w:t>
            </w:r>
          </w:p>
        </w:tc>
      </w:tr>
      <w:tr w:rsidR="005F6338" w:rsidRPr="00E15363" w:rsidTr="002E6C35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E15363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722050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104535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430499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75599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78%</w:t>
            </w:r>
          </w:p>
        </w:tc>
      </w:tr>
      <w:tr w:rsidR="005F6338" w:rsidRPr="00E15363" w:rsidTr="002E6C35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E15363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708836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90039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443305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99318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105%</w:t>
            </w:r>
          </w:p>
        </w:tc>
      </w:tr>
      <w:tr w:rsidR="005F6338" w:rsidRPr="00E15363" w:rsidTr="002E6C35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E15363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365549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55391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228626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40250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</w:tr>
      <w:tr w:rsidR="005F6338" w:rsidRPr="00E15363" w:rsidTr="002E6C35">
        <w:trPr>
          <w:trHeight w:val="28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E15363" w:rsidRDefault="005F6338" w:rsidP="00E1536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15363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656510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64074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509802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47364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91%</w:t>
            </w:r>
          </w:p>
        </w:tc>
      </w:tr>
    </w:tbl>
    <w:p w:rsidR="00093D6E" w:rsidRDefault="00093D6E" w:rsidP="00715348">
      <w:pPr>
        <w:spacing w:line="300" w:lineRule="auto"/>
        <w:ind w:firstLineChars="200" w:firstLine="201"/>
        <w:jc w:val="center"/>
        <w:rPr>
          <w:rFonts w:ascii="宋体" w:hAnsi="宋体"/>
          <w:b/>
          <w:sz w:val="10"/>
          <w:szCs w:val="10"/>
        </w:rPr>
      </w:pPr>
    </w:p>
    <w:tbl>
      <w:tblPr>
        <w:tblW w:w="4834" w:type="pct"/>
        <w:tblLook w:val="04A0"/>
      </w:tblPr>
      <w:tblGrid>
        <w:gridCol w:w="532"/>
        <w:gridCol w:w="994"/>
        <w:gridCol w:w="994"/>
        <w:gridCol w:w="851"/>
        <w:gridCol w:w="1134"/>
        <w:gridCol w:w="851"/>
        <w:gridCol w:w="1134"/>
        <w:gridCol w:w="853"/>
        <w:gridCol w:w="1134"/>
        <w:gridCol w:w="710"/>
        <w:gridCol w:w="994"/>
        <w:gridCol w:w="851"/>
        <w:gridCol w:w="1275"/>
        <w:gridCol w:w="700"/>
      </w:tblGrid>
      <w:tr w:rsidR="002E6C35" w:rsidRPr="002E6C35" w:rsidTr="005F6338">
        <w:trPr>
          <w:trHeight w:val="340"/>
        </w:trPr>
        <w:tc>
          <w:tcPr>
            <w:tcW w:w="2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47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监理产值</w:t>
            </w:r>
          </w:p>
        </w:tc>
        <w:tc>
          <w:tcPr>
            <w:tcW w:w="147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项目管理产值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其它产值</w:t>
            </w:r>
          </w:p>
        </w:tc>
      </w:tr>
      <w:tr w:rsidR="002E6C35" w:rsidRPr="002E6C35" w:rsidTr="005F6338">
        <w:trPr>
          <w:trHeight w:val="340"/>
        </w:trPr>
        <w:tc>
          <w:tcPr>
            <w:tcW w:w="2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C35" w:rsidRPr="002E6C35" w:rsidRDefault="002E6C35" w:rsidP="002E6C3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6C35" w:rsidRPr="002E6C35" w:rsidRDefault="002E6C35" w:rsidP="002E6C35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产值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占总产值%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6C35" w:rsidRPr="002E6C35" w:rsidRDefault="002E6C35" w:rsidP="002E6C35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5F6338" w:rsidRPr="002E6C35" w:rsidTr="005F6338">
        <w:trPr>
          <w:trHeight w:val="3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E6C35">
              <w:rPr>
                <w:rFonts w:ascii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51512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107%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202211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106%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10421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106%</w:t>
            </w:r>
          </w:p>
        </w:tc>
      </w:tr>
      <w:tr w:rsidR="005F6338" w:rsidRPr="002E6C35" w:rsidTr="005F6338">
        <w:trPr>
          <w:trHeight w:val="3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E6C35">
              <w:rPr>
                <w:rFonts w:ascii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19970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39%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3%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99%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90224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45%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12%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101%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1223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12%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148%</w:t>
            </w:r>
          </w:p>
        </w:tc>
      </w:tr>
      <w:tr w:rsidR="005F6338" w:rsidRPr="002E6C35" w:rsidTr="005F6338">
        <w:trPr>
          <w:trHeight w:val="3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E6C35">
              <w:rPr>
                <w:rFonts w:ascii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12559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24%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114%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57088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28%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125%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6528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63%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189%</w:t>
            </w:r>
          </w:p>
        </w:tc>
      </w:tr>
      <w:tr w:rsidR="005F6338" w:rsidRPr="002E6C35" w:rsidTr="005F6338">
        <w:trPr>
          <w:trHeight w:val="3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2E6C35">
              <w:rPr>
                <w:rFonts w:ascii="宋体" w:hAnsi="宋体" w:cs="宋体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14959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29%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100%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26274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13%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154%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4%</w:t>
            </w:r>
          </w:p>
        </w:tc>
      </w:tr>
      <w:tr w:rsidR="005F6338" w:rsidRPr="002E6C35" w:rsidTr="005F6338">
        <w:trPr>
          <w:trHeight w:val="340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2E6C35" w:rsidRDefault="005F6338" w:rsidP="002E6C35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E6C35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4024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8%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193%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28625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14%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4%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73%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2621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25%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0%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338" w:rsidRPr="005F6338" w:rsidRDefault="005F6338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6338">
              <w:rPr>
                <w:rFonts w:asciiTheme="minorEastAsia" w:eastAsiaTheme="minorEastAsia" w:hAnsiTheme="minorEastAsia" w:hint="eastAsia"/>
                <w:sz w:val="20"/>
                <w:szCs w:val="20"/>
              </w:rPr>
              <w:t>59%</w:t>
            </w:r>
          </w:p>
        </w:tc>
      </w:tr>
    </w:tbl>
    <w:p w:rsidR="00093D6E" w:rsidRDefault="00093D6E">
      <w:pPr>
        <w:spacing w:line="300" w:lineRule="auto"/>
        <w:ind w:firstLineChars="200" w:firstLine="562"/>
        <w:jc w:val="center"/>
        <w:rPr>
          <w:rFonts w:ascii="宋体" w:hAnsi="宋体"/>
          <w:b/>
          <w:sz w:val="28"/>
          <w:szCs w:val="28"/>
        </w:rPr>
      </w:pPr>
    </w:p>
    <w:p w:rsidR="009A3D08" w:rsidRPr="002C5D67" w:rsidRDefault="009A3D08" w:rsidP="009A3D08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201</w:t>
      </w:r>
      <w:r w:rsidR="005F6338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年各类业务完成产值按所属集团构成饼图</w:t>
      </w:r>
    </w:p>
    <w:p w:rsidR="005648A9" w:rsidRPr="002C5D67" w:rsidRDefault="005648A9" w:rsidP="009A3D08">
      <w:pPr>
        <w:spacing w:line="360" w:lineRule="auto"/>
        <w:jc w:val="center"/>
        <w:rPr>
          <w:rFonts w:ascii="宋体" w:hAnsi="宋体"/>
          <w:b/>
          <w:sz w:val="10"/>
          <w:szCs w:val="10"/>
        </w:rPr>
      </w:pPr>
    </w:p>
    <w:p w:rsidR="00242953" w:rsidRPr="002C5D67" w:rsidRDefault="005F6338" w:rsidP="001B37AA">
      <w:pPr>
        <w:ind w:rightChars="-451" w:right="-947"/>
        <w:rPr>
          <w:rFonts w:ascii="宋体" w:hAnsi="宋体" w:cs="宋体"/>
          <w:noProof/>
          <w:kern w:val="0"/>
          <w:sz w:val="28"/>
          <w:szCs w:val="28"/>
        </w:rPr>
      </w:pPr>
      <w:r w:rsidRPr="005F6338">
        <w:rPr>
          <w:noProof/>
        </w:rPr>
        <w:drawing>
          <wp:inline distT="0" distB="0" distL="0" distR="0">
            <wp:extent cx="2790825" cy="2019300"/>
            <wp:effectExtent l="19050" t="0" r="9525" b="0"/>
            <wp:docPr id="2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  <w:r w:rsidR="007F56B5" w:rsidRPr="002C5D67">
        <w:rPr>
          <w:noProof/>
        </w:rPr>
        <w:t xml:space="preserve"> </w:t>
      </w:r>
      <w:r w:rsidRPr="005F6338">
        <w:rPr>
          <w:noProof/>
        </w:rPr>
        <w:drawing>
          <wp:inline distT="0" distB="0" distL="0" distR="0">
            <wp:extent cx="2857500" cy="2047875"/>
            <wp:effectExtent l="19050" t="0" r="19050" b="0"/>
            <wp:docPr id="4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  <w:r w:rsidRPr="005F6338">
        <w:rPr>
          <w:noProof/>
        </w:rPr>
        <w:drawing>
          <wp:inline distT="0" distB="0" distL="0" distR="0">
            <wp:extent cx="2876550" cy="2066925"/>
            <wp:effectExtent l="19050" t="0" r="19050" b="0"/>
            <wp:docPr id="45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  <w:r w:rsidR="009A3D08" w:rsidRPr="002C5D67">
        <w:rPr>
          <w:rFonts w:ascii="宋体" w:hAnsi="宋体" w:cs="宋体" w:hint="eastAsia"/>
          <w:noProof/>
          <w:kern w:val="0"/>
          <w:sz w:val="28"/>
          <w:szCs w:val="28"/>
        </w:rPr>
        <w:t xml:space="preserve">  </w:t>
      </w:r>
    </w:p>
    <w:p w:rsidR="005648A9" w:rsidRPr="002C5D67" w:rsidRDefault="005648A9" w:rsidP="001B37AA">
      <w:pPr>
        <w:ind w:rightChars="-451" w:right="-947"/>
        <w:rPr>
          <w:rFonts w:ascii="宋体" w:hAnsi="宋体" w:cs="宋体"/>
          <w:kern w:val="0"/>
          <w:sz w:val="10"/>
          <w:szCs w:val="10"/>
        </w:rPr>
      </w:pPr>
    </w:p>
    <w:p w:rsidR="00242953" w:rsidRPr="002C5D67" w:rsidRDefault="005F6338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 w:rsidRPr="005F6338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76550" cy="2105025"/>
            <wp:effectExtent l="19050" t="0" r="19050" b="0"/>
            <wp:docPr id="46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  <w:r w:rsidRPr="005F6338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47975" cy="2095500"/>
            <wp:effectExtent l="19050" t="0" r="9525" b="0"/>
            <wp:docPr id="47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  <w:r w:rsidRPr="005F6338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867025" cy="2095500"/>
            <wp:effectExtent l="19050" t="0" r="9525" b="0"/>
            <wp:docPr id="48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  <w:r w:rsidR="005648A9" w:rsidRPr="002C5D67">
        <w:rPr>
          <w:rFonts w:ascii="宋体" w:hAnsi="宋体" w:cs="宋体" w:hint="eastAsia"/>
          <w:noProof/>
          <w:kern w:val="0"/>
          <w:sz w:val="28"/>
          <w:szCs w:val="28"/>
        </w:rPr>
        <w:t xml:space="preserve">  </w:t>
      </w:r>
    </w:p>
    <w:p w:rsidR="00242953" w:rsidRPr="002E360D" w:rsidRDefault="00242953" w:rsidP="00242953">
      <w:pPr>
        <w:pStyle w:val="3"/>
        <w:numPr>
          <w:ilvl w:val="0"/>
          <w:numId w:val="10"/>
        </w:numPr>
        <w:rPr>
          <w:rFonts w:ascii="宋体" w:hAnsi="宋体"/>
          <w:sz w:val="28"/>
          <w:szCs w:val="28"/>
        </w:rPr>
      </w:pPr>
      <w:bookmarkStart w:id="63" w:name="_Toc450668470"/>
      <w:r w:rsidRPr="002E360D">
        <w:rPr>
          <w:rFonts w:ascii="宋体" w:hAnsi="宋体" w:hint="eastAsia"/>
          <w:sz w:val="28"/>
          <w:szCs w:val="28"/>
        </w:rPr>
        <w:lastRenderedPageBreak/>
        <w:t>财务主要指标分析</w:t>
      </w:r>
      <w:bookmarkEnd w:id="63"/>
    </w:p>
    <w:p w:rsidR="00FA1A57" w:rsidRPr="00BD32DF" w:rsidRDefault="00242953" w:rsidP="00BD32DF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AD39BD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年，实现营业收入总额</w:t>
      </w:r>
      <w:r w:rsidR="00AD39BD" w:rsidRPr="00BD32DF">
        <w:rPr>
          <w:rFonts w:asciiTheme="minorEastAsia" w:eastAsiaTheme="minorEastAsia" w:hAnsiTheme="minorEastAsia" w:hint="eastAsia"/>
          <w:sz w:val="28"/>
          <w:szCs w:val="28"/>
        </w:rPr>
        <w:t>719.03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元，同比增</w:t>
      </w:r>
      <w:r w:rsidR="0097344E" w:rsidRPr="00BD32DF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AD39BD" w:rsidRPr="00BD32DF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%。其中境内收入</w:t>
      </w:r>
      <w:r w:rsidR="00AD39BD" w:rsidRPr="00BD32DF">
        <w:rPr>
          <w:rFonts w:asciiTheme="minorEastAsia" w:eastAsiaTheme="minorEastAsia" w:hAnsiTheme="minorEastAsia" w:hint="eastAsia"/>
          <w:sz w:val="28"/>
          <w:szCs w:val="28"/>
        </w:rPr>
        <w:t>689.41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元，同比增长</w:t>
      </w:r>
      <w:r w:rsidR="00AD39BD" w:rsidRPr="00BD32DF">
        <w:rPr>
          <w:rFonts w:asciiTheme="minorEastAsia" w:eastAsiaTheme="minorEastAsia" w:hAnsiTheme="minorEastAsia" w:hint="eastAsia"/>
          <w:sz w:val="28"/>
          <w:szCs w:val="28"/>
        </w:rPr>
        <w:t>15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%，占营业收入总额的95.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；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境外收入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29.62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元，同比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减少3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%，占营业收入总额的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4.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%。其中：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中电工程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225.06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31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%；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中能建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199.45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28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%；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中电建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121.13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17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；其它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173.4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元，占2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年中电建实现营业收入总额增幅最大，较去年同期增长了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31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0D7C27" w:rsidRPr="00BD32DF" w:rsidRDefault="00242953" w:rsidP="00BD32DF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年，实现利润总额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62.47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元，同比增长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16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。其中：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中电工程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17.1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元，占2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7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%；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中能建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11.71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19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%；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中电建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11.08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18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；其它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22.59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="00EC102D" w:rsidRPr="00BD32DF">
        <w:rPr>
          <w:rFonts w:asciiTheme="minorEastAsia" w:eastAsiaTheme="minorEastAsia" w:hAnsiTheme="minorEastAsia" w:hint="eastAsia"/>
          <w:sz w:val="28"/>
          <w:szCs w:val="28"/>
        </w:rPr>
        <w:t>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年中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电工程和其他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实现利润总额增幅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较大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，较去年同期增长了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24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0D7C27" w:rsidRPr="00BD32DF" w:rsidRDefault="00242953" w:rsidP="00BD32DF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年，实现经济增加值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38.65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同比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增长3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其中：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中电工程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11.46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30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%；中能建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9.39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亿元，占2</w:t>
      </w:r>
      <w:r w:rsidR="009D5861" w:rsidRPr="00BD32D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%；中电建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9.12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亿元，占2</w:t>
      </w:r>
      <w:r w:rsidR="00CE38DC" w:rsidRPr="00BD32D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%；其它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8.68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22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年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中电工程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经济增加值较去年同期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增幅最大，增长23</w:t>
      </w:r>
      <w:r w:rsidR="000D7C27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A74DB2" w:rsidRPr="00BD32DF" w:rsidRDefault="00242953" w:rsidP="00BD32DF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年，拥有资产总额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842.29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元，同比增</w:t>
      </w:r>
      <w:r w:rsidR="0097344E" w:rsidRPr="00BD32DF">
        <w:rPr>
          <w:rFonts w:asciiTheme="minorEastAsia" w:eastAsiaTheme="minorEastAsia" w:hAnsiTheme="minorEastAsia" w:hint="eastAsia"/>
          <w:sz w:val="28"/>
          <w:szCs w:val="28"/>
        </w:rPr>
        <w:t>长</w:t>
      </w:r>
      <w:r w:rsidR="0063527C" w:rsidRPr="00BD32DF">
        <w:rPr>
          <w:rFonts w:asciiTheme="minorEastAsia" w:eastAsiaTheme="minorEastAsia" w:hAnsiTheme="minorEastAsia" w:hint="eastAsia"/>
          <w:sz w:val="28"/>
          <w:szCs w:val="28"/>
        </w:rPr>
        <w:t>18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%。其中：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中电工程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264.83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亿元，占3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%；中能建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219.65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亿元，占2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%；中电建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134.99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%；其它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222.83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亿元，占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26</w:t>
      </w:r>
      <w:r w:rsidR="00C61D32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  <w:r w:rsidR="00A74DB2" w:rsidRPr="00BD32DF">
        <w:rPr>
          <w:rFonts w:asciiTheme="minorEastAsia" w:eastAsiaTheme="minorEastAsia" w:hAnsiTheme="minorEastAsia" w:hint="eastAsia"/>
          <w:sz w:val="28"/>
          <w:szCs w:val="28"/>
        </w:rPr>
        <w:t>201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5</w:t>
      </w:r>
      <w:r w:rsidR="00A74DB2" w:rsidRPr="00BD32DF">
        <w:rPr>
          <w:rFonts w:asciiTheme="minorEastAsia" w:eastAsiaTheme="minorEastAsia" w:hAnsiTheme="minorEastAsia" w:hint="eastAsia"/>
          <w:sz w:val="28"/>
          <w:szCs w:val="28"/>
        </w:rPr>
        <w:t>年中电建资产总额增幅最大，较去年同期增长了</w:t>
      </w:r>
      <w:r w:rsidR="008026DA" w:rsidRPr="00BD32DF">
        <w:rPr>
          <w:rFonts w:asciiTheme="minorEastAsia" w:eastAsiaTheme="minorEastAsia" w:hAnsiTheme="minorEastAsia" w:hint="eastAsia"/>
          <w:sz w:val="28"/>
          <w:szCs w:val="28"/>
        </w:rPr>
        <w:t>36</w:t>
      </w:r>
      <w:r w:rsidR="00A74DB2" w:rsidRPr="00BD32DF">
        <w:rPr>
          <w:rFonts w:asciiTheme="minorEastAsia" w:eastAsiaTheme="minorEastAsia" w:hAnsiTheme="minorEastAsia" w:hint="eastAsia"/>
          <w:sz w:val="28"/>
          <w:szCs w:val="28"/>
        </w:rPr>
        <w:t>%。</w:t>
      </w:r>
    </w:p>
    <w:p w:rsidR="00242953" w:rsidRPr="002C5D67" w:rsidRDefault="00242953" w:rsidP="00242953">
      <w:pPr>
        <w:spacing w:line="500" w:lineRule="exact"/>
        <w:ind w:firstLineChars="200" w:firstLine="562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lastRenderedPageBreak/>
        <w:t>201</w:t>
      </w:r>
      <w:r w:rsidR="00AD39BD">
        <w:rPr>
          <w:rFonts w:ascii="宋体" w:hAnsi="宋体" w:hint="eastAsia"/>
          <w:b/>
          <w:sz w:val="28"/>
          <w:szCs w:val="28"/>
        </w:rPr>
        <w:t>5</w:t>
      </w:r>
      <w:r w:rsidRPr="002C5D67">
        <w:rPr>
          <w:rFonts w:ascii="宋体" w:hAnsi="宋体" w:hint="eastAsia"/>
          <w:b/>
          <w:sz w:val="28"/>
          <w:szCs w:val="28"/>
        </w:rPr>
        <w:t>年主要财务指标分析</w:t>
      </w:r>
      <w:r w:rsidR="00797108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936"/>
        <w:gridCol w:w="846"/>
        <w:gridCol w:w="576"/>
        <w:gridCol w:w="576"/>
        <w:gridCol w:w="846"/>
        <w:gridCol w:w="576"/>
        <w:gridCol w:w="576"/>
        <w:gridCol w:w="756"/>
        <w:gridCol w:w="576"/>
        <w:gridCol w:w="576"/>
        <w:gridCol w:w="756"/>
        <w:gridCol w:w="576"/>
        <w:gridCol w:w="576"/>
        <w:gridCol w:w="756"/>
        <w:gridCol w:w="576"/>
        <w:gridCol w:w="576"/>
        <w:gridCol w:w="846"/>
        <w:gridCol w:w="576"/>
        <w:gridCol w:w="576"/>
      </w:tblGrid>
      <w:tr w:rsidR="00242953" w:rsidRPr="00494119" w:rsidTr="00494119">
        <w:trPr>
          <w:trHeight w:val="283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营业收入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境内营业收入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境外营业收入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利润总额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经济增加值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资产总额</w:t>
            </w:r>
          </w:p>
        </w:tc>
      </w:tr>
      <w:tr w:rsidR="001A3C3D" w:rsidRPr="00494119" w:rsidTr="00494119">
        <w:trPr>
          <w:trHeight w:val="283"/>
          <w:tblHeader/>
        </w:trPr>
        <w:tc>
          <w:tcPr>
            <w:tcW w:w="0" w:type="auto"/>
            <w:vMerge/>
            <w:vAlign w:val="center"/>
            <w:hideMark/>
          </w:tcPr>
          <w:p w:rsidR="00242953" w:rsidRPr="00494119" w:rsidRDefault="00242953" w:rsidP="00D62C2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42953" w:rsidRPr="00494119" w:rsidRDefault="00242953" w:rsidP="00D62C2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金额</w:t>
            </w:r>
            <w:r w:rsidRPr="000B773C"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  <w:br/>
              <w:t>(万元)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构成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42953" w:rsidRPr="00494119" w:rsidRDefault="000B773C" w:rsidP="00D62C20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cs="宋体" w:hint="eastAsia"/>
                <w:kern w:val="0"/>
                <w:sz w:val="18"/>
                <w:szCs w:val="18"/>
              </w:rPr>
              <w:t>同比</w:t>
            </w:r>
          </w:p>
        </w:tc>
      </w:tr>
      <w:tr w:rsidR="00AD39BD" w:rsidRPr="00494119" w:rsidTr="00494119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hint="eastAsia"/>
                <w:sz w:val="18"/>
                <w:szCs w:val="18"/>
              </w:rPr>
              <w:t>总计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7190261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6894077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115%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296184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97%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624740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386511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8422948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118%</w:t>
            </w:r>
          </w:p>
        </w:tc>
      </w:tr>
      <w:tr w:rsidR="00AD39BD" w:rsidRPr="00494119" w:rsidTr="00494119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hint="eastAsia"/>
                <w:sz w:val="18"/>
                <w:szCs w:val="18"/>
              </w:rPr>
              <w:t>中电工程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2250501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109%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2149666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112%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100835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70%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170967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114581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2648270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</w:tr>
      <w:tr w:rsidR="00AD39BD" w:rsidRPr="00494119" w:rsidTr="00494119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hint="eastAsia"/>
                <w:sz w:val="18"/>
                <w:szCs w:val="18"/>
              </w:rPr>
              <w:t>中能建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1994467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28%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1871735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122732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41%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117070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19%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93881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2196502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129%</w:t>
            </w:r>
          </w:p>
        </w:tc>
      </w:tr>
      <w:tr w:rsidR="00AD39BD" w:rsidRPr="00494119" w:rsidTr="00494119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hint="eastAsia"/>
                <w:sz w:val="18"/>
                <w:szCs w:val="18"/>
              </w:rPr>
              <w:t>中电建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1211288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131%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1168963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132%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42325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110823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91224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1349864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136%</w:t>
            </w:r>
          </w:p>
        </w:tc>
      </w:tr>
      <w:tr w:rsidR="00AD39BD" w:rsidRPr="00494119" w:rsidTr="00494119">
        <w:trPr>
          <w:trHeight w:val="283"/>
        </w:trPr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jc w:val="center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494119" w:rsidRDefault="00AD39BD">
            <w:pPr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0B773C">
              <w:rPr>
                <w:rFonts w:asciiTheme="minorEastAsia" w:eastAsiaTheme="minorEastAsia" w:hAnsiTheme="minorEastAsia" w:hint="eastAsia"/>
                <w:sz w:val="18"/>
                <w:szCs w:val="18"/>
              </w:rPr>
              <w:t>其它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1734006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1703713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25%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108%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30292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147%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225880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36%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124%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86825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83%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2228312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39BD" w:rsidRPr="00AD39BD" w:rsidRDefault="00AD39BD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AD39BD">
              <w:rPr>
                <w:rFonts w:asciiTheme="minorEastAsia" w:eastAsiaTheme="minorEastAsia" w:hAnsiTheme="minorEastAsia" w:hint="eastAsia"/>
                <w:sz w:val="18"/>
                <w:szCs w:val="18"/>
              </w:rPr>
              <w:t>102%</w:t>
            </w:r>
          </w:p>
        </w:tc>
      </w:tr>
    </w:tbl>
    <w:p w:rsidR="0070219E" w:rsidRDefault="0070219E" w:rsidP="0070219E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主要财务指标按隶属分类构成饼图</w:t>
      </w:r>
    </w:p>
    <w:p w:rsidR="00AD39BD" w:rsidRPr="002C5D67" w:rsidRDefault="00AD39BD" w:rsidP="0070219E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7696200" cy="3362832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471" cy="336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17" w:rsidRPr="002E360D" w:rsidRDefault="00395917" w:rsidP="00017CE1">
      <w:pPr>
        <w:pStyle w:val="3"/>
        <w:numPr>
          <w:ilvl w:val="0"/>
          <w:numId w:val="10"/>
        </w:numPr>
        <w:spacing w:line="240" w:lineRule="auto"/>
        <w:rPr>
          <w:rFonts w:ascii="宋体" w:hAnsi="宋体"/>
          <w:sz w:val="28"/>
          <w:szCs w:val="28"/>
        </w:rPr>
      </w:pPr>
      <w:bookmarkStart w:id="64" w:name="_Toc422233722"/>
      <w:bookmarkStart w:id="65" w:name="_Toc422235165"/>
      <w:bookmarkStart w:id="66" w:name="_Toc422233723"/>
      <w:bookmarkStart w:id="67" w:name="_Toc422235166"/>
      <w:bookmarkStart w:id="68" w:name="_Toc450668471"/>
      <w:bookmarkEnd w:id="64"/>
      <w:bookmarkEnd w:id="65"/>
      <w:bookmarkEnd w:id="66"/>
      <w:bookmarkEnd w:id="67"/>
      <w:r w:rsidRPr="002E360D">
        <w:rPr>
          <w:rFonts w:ascii="宋体" w:hAnsi="宋体" w:hint="eastAsia"/>
          <w:sz w:val="28"/>
          <w:szCs w:val="28"/>
        </w:rPr>
        <w:lastRenderedPageBreak/>
        <w:t>工程总承包业务分析</w:t>
      </w:r>
      <w:bookmarkEnd w:id="68"/>
    </w:p>
    <w:p w:rsidR="00494119" w:rsidRPr="002C5D67" w:rsidRDefault="00395917" w:rsidP="00C749D3">
      <w:pPr>
        <w:jc w:val="center"/>
        <w:rPr>
          <w:rFonts w:ascii="宋体" w:hAnsi="宋体"/>
          <w:b/>
          <w:sz w:val="28"/>
          <w:szCs w:val="28"/>
        </w:rPr>
      </w:pPr>
      <w:r w:rsidRPr="002C5D67">
        <w:rPr>
          <w:rFonts w:ascii="宋体" w:hAnsi="宋体" w:hint="eastAsia"/>
          <w:b/>
          <w:sz w:val="28"/>
          <w:szCs w:val="28"/>
        </w:rPr>
        <w:t>总承包业务主要指标分析</w:t>
      </w:r>
      <w:r w:rsidR="00797108" w:rsidRPr="002C5D67">
        <w:rPr>
          <w:rFonts w:ascii="宋体" w:hAnsi="宋体" w:hint="eastAsia"/>
          <w:b/>
          <w:sz w:val="28"/>
          <w:szCs w:val="28"/>
        </w:rPr>
        <w:t>（单位：万元）</w:t>
      </w:r>
    </w:p>
    <w:tbl>
      <w:tblPr>
        <w:tblW w:w="14000" w:type="dxa"/>
        <w:jc w:val="center"/>
        <w:tblLayout w:type="fixed"/>
        <w:tblLook w:val="04A0"/>
      </w:tblPr>
      <w:tblGrid>
        <w:gridCol w:w="617"/>
        <w:gridCol w:w="846"/>
        <w:gridCol w:w="577"/>
        <w:gridCol w:w="576"/>
        <w:gridCol w:w="1054"/>
        <w:gridCol w:w="592"/>
        <w:gridCol w:w="600"/>
        <w:gridCol w:w="614"/>
        <w:gridCol w:w="916"/>
        <w:gridCol w:w="576"/>
        <w:gridCol w:w="529"/>
        <w:gridCol w:w="600"/>
        <w:gridCol w:w="834"/>
        <w:gridCol w:w="709"/>
        <w:gridCol w:w="674"/>
        <w:gridCol w:w="567"/>
        <w:gridCol w:w="993"/>
        <w:gridCol w:w="708"/>
        <w:gridCol w:w="851"/>
        <w:gridCol w:w="567"/>
      </w:tblGrid>
      <w:tr w:rsidR="00C749D3" w:rsidRPr="002C5D67" w:rsidTr="00332C87">
        <w:trPr>
          <w:trHeight w:val="402"/>
          <w:jc w:val="center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单位名称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新签合同额</w:t>
            </w:r>
          </w:p>
        </w:tc>
        <w:tc>
          <w:tcPr>
            <w:tcW w:w="2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执行的总包合同额</w:t>
            </w:r>
          </w:p>
        </w:tc>
        <w:tc>
          <w:tcPr>
            <w:tcW w:w="26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完成总包合同额</w:t>
            </w:r>
          </w:p>
        </w:tc>
        <w:tc>
          <w:tcPr>
            <w:tcW w:w="2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完成项目管理产值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总承包收入</w:t>
            </w:r>
          </w:p>
        </w:tc>
      </w:tr>
      <w:tr w:rsidR="00332C87" w:rsidRPr="002C5D67" w:rsidTr="00332C87">
        <w:trPr>
          <w:trHeight w:val="1020"/>
          <w:jc w:val="center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49D3" w:rsidRPr="002C5D67" w:rsidRDefault="00C749D3" w:rsidP="00C749D3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总包合同额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执行合同额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与新签合同额对比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完成合同额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占执行合同%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项目管理产值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占完成合同额%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总承包收入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构成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占完成合同额%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9D3" w:rsidRPr="002C5D67" w:rsidRDefault="00C749D3" w:rsidP="00C749D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同比</w:t>
            </w:r>
          </w:p>
        </w:tc>
      </w:tr>
      <w:tr w:rsidR="00332C87" w:rsidRPr="00332C87" w:rsidTr="00332C87">
        <w:trPr>
          <w:trHeight w:val="402"/>
          <w:jc w:val="center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C5D67" w:rsidRDefault="005F3FCC" w:rsidP="00C749D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总计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9858824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113%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18962688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192%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149%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4591798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134%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200607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4.4%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105%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4956441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107.9%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121%</w:t>
            </w:r>
          </w:p>
        </w:tc>
      </w:tr>
      <w:tr w:rsidR="00332C87" w:rsidRPr="00332C87" w:rsidTr="00332C87">
        <w:trPr>
          <w:trHeight w:val="525"/>
          <w:jc w:val="center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C5D67" w:rsidRDefault="005F3FCC" w:rsidP="00C749D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中电工程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3647240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116%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7770336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41%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213%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124%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1415781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104%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89881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45%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6.3%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101%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1564028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110.5%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108%</w:t>
            </w:r>
          </w:p>
        </w:tc>
      </w:tr>
      <w:tr w:rsidR="00332C87" w:rsidRPr="00332C87" w:rsidTr="00332C87">
        <w:trPr>
          <w:trHeight w:val="402"/>
          <w:jc w:val="center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C5D67" w:rsidRDefault="005F3FCC" w:rsidP="00C749D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中能建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2390942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24%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87%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5837853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31%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244%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319%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1536139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33%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26%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183%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56187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28%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3.7%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1416008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92.2%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126%</w:t>
            </w:r>
          </w:p>
        </w:tc>
      </w:tr>
      <w:tr w:rsidR="00332C87" w:rsidRPr="00332C87" w:rsidTr="00332C87">
        <w:trPr>
          <w:trHeight w:val="435"/>
          <w:jc w:val="center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C5D67" w:rsidRDefault="005F3FCC" w:rsidP="00C749D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中电建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2095393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21%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138%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2115958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11%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101%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191%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712549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16%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34%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310%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26274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13%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3.7%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154%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893376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125.4%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147%</w:t>
            </w:r>
          </w:p>
        </w:tc>
      </w:tr>
      <w:tr w:rsidR="00332C87" w:rsidRPr="00332C87" w:rsidTr="00332C87">
        <w:trPr>
          <w:trHeight w:val="435"/>
          <w:jc w:val="center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C5D67" w:rsidRDefault="005F3FCC" w:rsidP="00C749D3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C5D67">
              <w:rPr>
                <w:rFonts w:ascii="宋体" w:hAnsi="宋体" w:cs="宋体" w:hint="eastAsia"/>
                <w:kern w:val="0"/>
                <w:sz w:val="18"/>
                <w:szCs w:val="18"/>
              </w:rPr>
              <w:t>其它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1725249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129%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3238541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17%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188%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92%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927329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20%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29%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93%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45D11">
              <w:rPr>
                <w:rFonts w:asciiTheme="minorEastAsia" w:eastAsiaTheme="minorEastAsia" w:hAnsiTheme="minorEastAsia" w:hint="eastAsia"/>
                <w:sz w:val="20"/>
                <w:szCs w:val="20"/>
              </w:rPr>
              <w:t>28265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14%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245D11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245D11">
              <w:rPr>
                <w:rFonts w:asciiTheme="minorEastAsia" w:eastAsiaTheme="minorEastAsia" w:hAnsiTheme="minorEastAsia" w:hint="eastAsia"/>
                <w:sz w:val="18"/>
                <w:szCs w:val="18"/>
              </w:rPr>
              <w:t>3.0%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74%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5F3FCC">
              <w:rPr>
                <w:rFonts w:asciiTheme="minorEastAsia" w:eastAsiaTheme="minorEastAsia" w:hAnsiTheme="minorEastAsia" w:hint="eastAsia"/>
                <w:sz w:val="20"/>
                <w:szCs w:val="20"/>
              </w:rPr>
              <w:t>1083030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22%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5F3FCC" w:rsidRDefault="005F3FCC">
            <w:pPr>
              <w:jc w:val="right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F3FCC">
              <w:rPr>
                <w:rFonts w:asciiTheme="minorEastAsia" w:eastAsiaTheme="minorEastAsia" w:hAnsiTheme="minorEastAsia" w:hint="eastAsia"/>
                <w:sz w:val="18"/>
                <w:szCs w:val="18"/>
              </w:rPr>
              <w:t>116.8%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3FCC" w:rsidRPr="00332C87" w:rsidRDefault="005F3FCC">
            <w:pPr>
              <w:jc w:val="right"/>
              <w:rPr>
                <w:rFonts w:asciiTheme="minorEastAsia" w:eastAsiaTheme="minorEastAsia" w:hAnsiTheme="minorEastAsia" w:cs="宋体"/>
                <w:spacing w:val="-20"/>
                <w:sz w:val="18"/>
                <w:szCs w:val="18"/>
              </w:rPr>
            </w:pPr>
            <w:r w:rsidRPr="00332C87">
              <w:rPr>
                <w:rFonts w:asciiTheme="minorEastAsia" w:eastAsiaTheme="minorEastAsia" w:hAnsiTheme="minorEastAsia" w:hint="eastAsia"/>
                <w:spacing w:val="-20"/>
                <w:sz w:val="18"/>
                <w:szCs w:val="18"/>
              </w:rPr>
              <w:t>118%</w:t>
            </w:r>
          </w:p>
        </w:tc>
      </w:tr>
    </w:tbl>
    <w:p w:rsidR="00093D6E" w:rsidRPr="00BD32DF" w:rsidRDefault="000B773C" w:rsidP="00332C87">
      <w:pPr>
        <w:spacing w:line="480" w:lineRule="auto"/>
        <w:ind w:leftChars="-202" w:left="-424" w:rightChars="-176" w:right="-370" w:firstLineChars="200" w:firstLine="560"/>
        <w:rPr>
          <w:rFonts w:ascii="宋体" w:hAnsi="宋体"/>
          <w:sz w:val="28"/>
          <w:szCs w:val="28"/>
        </w:rPr>
      </w:pPr>
      <w:r w:rsidRPr="00BD32DF">
        <w:rPr>
          <w:rFonts w:ascii="宋体" w:hAnsi="宋体"/>
          <w:sz w:val="28"/>
          <w:szCs w:val="28"/>
        </w:rPr>
        <w:t>201</w:t>
      </w:r>
      <w:r w:rsidR="00245D11" w:rsidRPr="00BD32DF">
        <w:rPr>
          <w:rFonts w:ascii="宋体" w:hAnsi="宋体" w:hint="eastAsia"/>
          <w:sz w:val="28"/>
          <w:szCs w:val="28"/>
        </w:rPr>
        <w:t>5</w:t>
      </w:r>
      <w:r w:rsidRPr="00BD32DF">
        <w:rPr>
          <w:rFonts w:ascii="宋体" w:hAnsi="宋体" w:hint="eastAsia"/>
          <w:sz w:val="28"/>
          <w:szCs w:val="28"/>
        </w:rPr>
        <w:t>年，总承包业务新签合同总额</w:t>
      </w:r>
      <w:r w:rsidR="00245D11" w:rsidRPr="00BD32DF">
        <w:rPr>
          <w:rFonts w:ascii="宋体" w:hAnsi="宋体" w:hint="eastAsia"/>
          <w:sz w:val="28"/>
          <w:szCs w:val="28"/>
        </w:rPr>
        <w:t>985.88</w:t>
      </w:r>
      <w:r w:rsidRPr="00BD32DF">
        <w:rPr>
          <w:rFonts w:ascii="宋体" w:hAnsi="宋体" w:hint="eastAsia"/>
          <w:sz w:val="28"/>
          <w:szCs w:val="28"/>
        </w:rPr>
        <w:t>亿元，同比增</w:t>
      </w:r>
      <w:r w:rsidR="0097344E" w:rsidRPr="00BD32DF">
        <w:rPr>
          <w:rFonts w:ascii="宋体" w:hAnsi="宋体" w:hint="eastAsia"/>
          <w:sz w:val="28"/>
          <w:szCs w:val="28"/>
        </w:rPr>
        <w:t>长</w:t>
      </w:r>
      <w:r w:rsidR="00245D11" w:rsidRPr="00BD32DF">
        <w:rPr>
          <w:rFonts w:ascii="宋体" w:hAnsi="宋体" w:hint="eastAsia"/>
          <w:sz w:val="28"/>
          <w:szCs w:val="28"/>
        </w:rPr>
        <w:t>13</w:t>
      </w:r>
      <w:r w:rsidRPr="00BD32DF">
        <w:rPr>
          <w:rFonts w:ascii="宋体" w:hAnsi="宋体"/>
          <w:sz w:val="28"/>
          <w:szCs w:val="28"/>
        </w:rPr>
        <w:t>%</w:t>
      </w:r>
      <w:r w:rsidRPr="00BD32DF">
        <w:rPr>
          <w:rFonts w:ascii="宋体" w:hAnsi="宋体" w:hint="eastAsia"/>
          <w:sz w:val="28"/>
          <w:szCs w:val="28"/>
        </w:rPr>
        <w:t>，</w:t>
      </w:r>
      <w:r w:rsidRPr="00BD32DF">
        <w:rPr>
          <w:rFonts w:asciiTheme="minorEastAsia" w:eastAsiaTheme="minorEastAsia" w:hAnsiTheme="minorEastAsia" w:hint="eastAsia"/>
          <w:sz w:val="28"/>
          <w:szCs w:val="28"/>
        </w:rPr>
        <w:t>中电建增幅最大，较去年同期增长了</w:t>
      </w:r>
      <w:r w:rsidR="00245D11" w:rsidRPr="00BD32DF">
        <w:rPr>
          <w:rFonts w:asciiTheme="minorEastAsia" w:eastAsiaTheme="minorEastAsia" w:hAnsiTheme="minorEastAsia" w:hint="eastAsia"/>
          <w:sz w:val="28"/>
          <w:szCs w:val="28"/>
        </w:rPr>
        <w:t>38</w:t>
      </w:r>
      <w:r w:rsidRPr="00BD32DF">
        <w:rPr>
          <w:rFonts w:asciiTheme="minorEastAsia" w:eastAsiaTheme="minorEastAsia" w:hAnsiTheme="minorEastAsia"/>
          <w:sz w:val="28"/>
          <w:szCs w:val="28"/>
        </w:rPr>
        <w:t>%</w:t>
      </w:r>
      <w:r w:rsidRPr="00BD32DF">
        <w:rPr>
          <w:rFonts w:ascii="宋体" w:hAnsi="宋体" w:hint="eastAsia"/>
          <w:sz w:val="28"/>
          <w:szCs w:val="28"/>
        </w:rPr>
        <w:t>；正在执行的总承包项目合同总额为</w:t>
      </w:r>
      <w:r w:rsidR="00245D11" w:rsidRPr="00BD32DF">
        <w:rPr>
          <w:rFonts w:ascii="宋体" w:hAnsi="宋体" w:hint="eastAsia"/>
          <w:sz w:val="28"/>
          <w:szCs w:val="28"/>
        </w:rPr>
        <w:t>1896.27</w:t>
      </w:r>
      <w:r w:rsidRPr="00BD32DF">
        <w:rPr>
          <w:rFonts w:ascii="宋体" w:hAnsi="宋体" w:hint="eastAsia"/>
          <w:sz w:val="28"/>
          <w:szCs w:val="28"/>
        </w:rPr>
        <w:t>亿元，同比</w:t>
      </w:r>
      <w:r w:rsidR="00245D11" w:rsidRPr="00BD32DF">
        <w:rPr>
          <w:rFonts w:ascii="宋体" w:hAnsi="宋体" w:hint="eastAsia"/>
          <w:sz w:val="28"/>
          <w:szCs w:val="28"/>
        </w:rPr>
        <w:t>增</w:t>
      </w:r>
      <w:r w:rsidR="0097344E" w:rsidRPr="00BD32DF">
        <w:rPr>
          <w:rFonts w:ascii="宋体" w:hAnsi="宋体" w:hint="eastAsia"/>
          <w:sz w:val="28"/>
          <w:szCs w:val="28"/>
        </w:rPr>
        <w:t>长</w:t>
      </w:r>
      <w:r w:rsidR="00245D11" w:rsidRPr="00BD32DF">
        <w:rPr>
          <w:rFonts w:ascii="宋体" w:hAnsi="宋体" w:hint="eastAsia"/>
          <w:sz w:val="28"/>
          <w:szCs w:val="28"/>
        </w:rPr>
        <w:t>49</w:t>
      </w:r>
      <w:r w:rsidRPr="00BD32DF">
        <w:rPr>
          <w:rFonts w:ascii="宋体" w:hAnsi="宋体"/>
          <w:sz w:val="28"/>
          <w:szCs w:val="28"/>
        </w:rPr>
        <w:t>%</w:t>
      </w:r>
      <w:r w:rsidRPr="00BD32DF">
        <w:rPr>
          <w:rFonts w:ascii="宋体" w:hAnsi="宋体" w:hint="eastAsia"/>
          <w:sz w:val="28"/>
          <w:szCs w:val="28"/>
        </w:rPr>
        <w:t>，</w:t>
      </w:r>
      <w:r w:rsidR="00245D11" w:rsidRPr="00BD32DF">
        <w:rPr>
          <w:rFonts w:ascii="宋体" w:hAnsi="宋体" w:hint="eastAsia"/>
          <w:sz w:val="28"/>
          <w:szCs w:val="28"/>
        </w:rPr>
        <w:t>中能建增幅最大，</w:t>
      </w:r>
      <w:r w:rsidRPr="00BD32DF">
        <w:rPr>
          <w:rFonts w:ascii="宋体" w:hAnsi="宋体" w:hint="eastAsia"/>
          <w:sz w:val="28"/>
          <w:szCs w:val="28"/>
        </w:rPr>
        <w:t>增长</w:t>
      </w:r>
      <w:r w:rsidR="00245D11" w:rsidRPr="00BD32DF">
        <w:rPr>
          <w:rFonts w:ascii="宋体" w:hAnsi="宋体" w:hint="eastAsia"/>
          <w:sz w:val="28"/>
          <w:szCs w:val="28"/>
        </w:rPr>
        <w:t>144</w:t>
      </w:r>
      <w:r w:rsidRPr="00BD32DF">
        <w:rPr>
          <w:rFonts w:ascii="宋体" w:hAnsi="宋体"/>
          <w:sz w:val="28"/>
          <w:szCs w:val="28"/>
        </w:rPr>
        <w:t>%</w:t>
      </w:r>
      <w:r w:rsidRPr="00BD32DF">
        <w:rPr>
          <w:rFonts w:ascii="宋体" w:hAnsi="宋体" w:hint="eastAsia"/>
          <w:sz w:val="28"/>
          <w:szCs w:val="28"/>
        </w:rPr>
        <w:t>；完成总承包合同总额为</w:t>
      </w:r>
      <w:r w:rsidR="00245D11" w:rsidRPr="00BD32DF">
        <w:rPr>
          <w:rFonts w:ascii="宋体" w:hAnsi="宋体" w:hint="eastAsia"/>
          <w:sz w:val="28"/>
          <w:szCs w:val="28"/>
        </w:rPr>
        <w:t>459.18</w:t>
      </w:r>
      <w:r w:rsidRPr="00BD32DF">
        <w:rPr>
          <w:rFonts w:ascii="宋体" w:hAnsi="宋体" w:hint="eastAsia"/>
          <w:sz w:val="28"/>
          <w:szCs w:val="28"/>
        </w:rPr>
        <w:t>亿元，同比增长</w:t>
      </w:r>
      <w:r w:rsidR="00245D11" w:rsidRPr="00BD32DF">
        <w:rPr>
          <w:rFonts w:ascii="宋体" w:hAnsi="宋体" w:hint="eastAsia"/>
          <w:sz w:val="28"/>
          <w:szCs w:val="28"/>
        </w:rPr>
        <w:t>34</w:t>
      </w:r>
      <w:r w:rsidRPr="00BD32DF">
        <w:rPr>
          <w:rFonts w:ascii="宋体" w:hAnsi="宋体"/>
          <w:sz w:val="28"/>
          <w:szCs w:val="28"/>
        </w:rPr>
        <w:t>%，占正在执行的总承包合同总额的2</w:t>
      </w:r>
      <w:r w:rsidR="00245D11" w:rsidRPr="00BD32DF">
        <w:rPr>
          <w:rFonts w:ascii="宋体" w:hAnsi="宋体" w:hint="eastAsia"/>
          <w:sz w:val="28"/>
          <w:szCs w:val="28"/>
        </w:rPr>
        <w:t>4</w:t>
      </w:r>
      <w:r w:rsidRPr="00BD32DF">
        <w:rPr>
          <w:rFonts w:ascii="宋体" w:hAnsi="宋体"/>
          <w:sz w:val="28"/>
          <w:szCs w:val="28"/>
        </w:rPr>
        <w:t>%，完成总包合同额小于新签合同额，说明总包业务得到了有效补充；完成总承包</w:t>
      </w:r>
      <w:r w:rsidRPr="00BD32DF">
        <w:rPr>
          <w:rFonts w:ascii="宋体" w:hAnsi="宋体" w:hint="eastAsia"/>
          <w:sz w:val="28"/>
          <w:szCs w:val="28"/>
        </w:rPr>
        <w:t>项目管理总产值</w:t>
      </w:r>
      <w:r w:rsidR="00245D11" w:rsidRPr="00BD32DF">
        <w:rPr>
          <w:rFonts w:ascii="宋体" w:hAnsi="宋体" w:hint="eastAsia"/>
          <w:sz w:val="28"/>
          <w:szCs w:val="28"/>
        </w:rPr>
        <w:t>20.07</w:t>
      </w:r>
      <w:r w:rsidRPr="00BD32DF">
        <w:rPr>
          <w:rFonts w:ascii="宋体" w:hAnsi="宋体" w:hint="eastAsia"/>
          <w:sz w:val="28"/>
          <w:szCs w:val="28"/>
        </w:rPr>
        <w:t>亿元，占完成总包合同额的比率为</w:t>
      </w:r>
      <w:r w:rsidR="00245D11" w:rsidRPr="00BD32DF">
        <w:rPr>
          <w:rFonts w:ascii="宋体" w:hAnsi="宋体" w:hint="eastAsia"/>
          <w:sz w:val="28"/>
          <w:szCs w:val="28"/>
        </w:rPr>
        <w:t>4.4</w:t>
      </w:r>
      <w:r w:rsidRPr="00BD32DF">
        <w:rPr>
          <w:rFonts w:ascii="宋体" w:hAnsi="宋体"/>
          <w:sz w:val="28"/>
          <w:szCs w:val="28"/>
        </w:rPr>
        <w:t>%，说明总承包项目</w:t>
      </w:r>
      <w:r w:rsidRPr="00BD32DF">
        <w:rPr>
          <w:rFonts w:ascii="宋体" w:hAnsi="宋体"/>
          <w:sz w:val="28"/>
          <w:szCs w:val="28"/>
        </w:rPr>
        <w:lastRenderedPageBreak/>
        <w:t>管理费较低；实现总承包收入</w:t>
      </w:r>
      <w:r w:rsidR="005F3FCC" w:rsidRPr="00BD32DF">
        <w:rPr>
          <w:rFonts w:ascii="宋体" w:hAnsi="宋体" w:hint="eastAsia"/>
          <w:sz w:val="28"/>
          <w:szCs w:val="28"/>
        </w:rPr>
        <w:t>495.64</w:t>
      </w:r>
      <w:r w:rsidRPr="00BD32DF">
        <w:rPr>
          <w:rFonts w:ascii="宋体" w:hAnsi="宋体" w:hint="eastAsia"/>
          <w:sz w:val="28"/>
          <w:szCs w:val="28"/>
        </w:rPr>
        <w:t>亿元，同比增</w:t>
      </w:r>
      <w:r w:rsidR="0097344E" w:rsidRPr="00BD32DF">
        <w:rPr>
          <w:rFonts w:ascii="宋体" w:hAnsi="宋体" w:hint="eastAsia"/>
          <w:sz w:val="28"/>
          <w:szCs w:val="28"/>
        </w:rPr>
        <w:t>长</w:t>
      </w:r>
      <w:r w:rsidR="005F3FCC" w:rsidRPr="00BD32DF">
        <w:rPr>
          <w:rFonts w:ascii="宋体" w:hAnsi="宋体" w:hint="eastAsia"/>
          <w:sz w:val="28"/>
          <w:szCs w:val="28"/>
        </w:rPr>
        <w:t>21</w:t>
      </w:r>
      <w:r w:rsidRPr="00BD32DF">
        <w:rPr>
          <w:rFonts w:ascii="宋体" w:hAnsi="宋体"/>
          <w:sz w:val="28"/>
          <w:szCs w:val="28"/>
        </w:rPr>
        <w:t>%，</w:t>
      </w:r>
      <w:r w:rsidRPr="00BD32DF">
        <w:rPr>
          <w:rFonts w:ascii="宋体" w:hAnsi="宋体" w:hint="eastAsia"/>
          <w:sz w:val="28"/>
          <w:szCs w:val="28"/>
        </w:rPr>
        <w:t>比当年完成总承包合同总额多</w:t>
      </w:r>
      <w:r w:rsidR="005F3FCC" w:rsidRPr="00BD32DF">
        <w:rPr>
          <w:rFonts w:ascii="宋体" w:hAnsi="宋体" w:hint="eastAsia"/>
          <w:sz w:val="28"/>
          <w:szCs w:val="28"/>
        </w:rPr>
        <w:t>8</w:t>
      </w:r>
      <w:r w:rsidRPr="00BD32DF">
        <w:rPr>
          <w:rFonts w:ascii="宋体" w:hAnsi="宋体"/>
          <w:sz w:val="28"/>
          <w:szCs w:val="28"/>
        </w:rPr>
        <w:t>%，说明以前年度完成的总承包合同额在本期确认了</w:t>
      </w:r>
      <w:r w:rsidRPr="00BD32DF">
        <w:rPr>
          <w:rFonts w:ascii="宋体" w:hAnsi="宋体" w:hint="eastAsia"/>
          <w:sz w:val="28"/>
          <w:szCs w:val="28"/>
        </w:rPr>
        <w:t>收入。</w:t>
      </w:r>
    </w:p>
    <w:p w:rsidR="00017CE1" w:rsidRPr="002C5D67" w:rsidRDefault="00017CE1" w:rsidP="00017CE1">
      <w:pPr>
        <w:pStyle w:val="3"/>
        <w:numPr>
          <w:ilvl w:val="0"/>
          <w:numId w:val="10"/>
        </w:numPr>
        <w:spacing w:line="240" w:lineRule="auto"/>
        <w:rPr>
          <w:rFonts w:ascii="宋体" w:hAnsi="宋体"/>
          <w:sz w:val="28"/>
          <w:szCs w:val="28"/>
        </w:rPr>
      </w:pPr>
      <w:bookmarkStart w:id="69" w:name="_Toc450668472"/>
      <w:r w:rsidRPr="002C5D67">
        <w:rPr>
          <w:rFonts w:ascii="宋体" w:hAnsi="宋体" w:hint="eastAsia"/>
          <w:sz w:val="28"/>
          <w:szCs w:val="28"/>
        </w:rPr>
        <w:t>工程阶段项目设计容量完成情况分析</w:t>
      </w:r>
      <w:bookmarkEnd w:id="69"/>
    </w:p>
    <w:p w:rsidR="00017CE1" w:rsidRPr="002E360D" w:rsidRDefault="00017CE1" w:rsidP="00A22EDA">
      <w:pPr>
        <w:numPr>
          <w:ilvl w:val="1"/>
          <w:numId w:val="10"/>
        </w:numPr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t>发电工程完成情况分析</w:t>
      </w:r>
    </w:p>
    <w:p w:rsidR="00332C87" w:rsidRDefault="00017CE1" w:rsidP="00A22EDA">
      <w:pPr>
        <w:ind w:left="709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t xml:space="preserve"> </w:t>
      </w:r>
      <w:r w:rsidR="00A22EDA" w:rsidRPr="002C5D67">
        <w:rPr>
          <w:rFonts w:ascii="宋体" w:hAnsi="宋体" w:hint="eastAsia"/>
          <w:b/>
          <w:noProof/>
          <w:sz w:val="28"/>
          <w:szCs w:val="28"/>
        </w:rPr>
        <w:t xml:space="preserve">                    </w:t>
      </w: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332C87" w:rsidRDefault="00332C87" w:rsidP="00A22EDA">
      <w:pPr>
        <w:ind w:left="709"/>
        <w:rPr>
          <w:rFonts w:ascii="宋体" w:hAnsi="宋体"/>
          <w:b/>
          <w:noProof/>
          <w:sz w:val="28"/>
          <w:szCs w:val="28"/>
        </w:rPr>
      </w:pPr>
    </w:p>
    <w:p w:rsidR="00017CE1" w:rsidRPr="002C5D67" w:rsidRDefault="00017CE1" w:rsidP="00332C87">
      <w:pPr>
        <w:ind w:left="709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发电工程初可阶段完成的设计容量构成分析</w:t>
      </w:r>
    </w:p>
    <w:p w:rsidR="00017CE1" w:rsidRPr="002C5D67" w:rsidRDefault="00017CE1" w:rsidP="00A22EDA">
      <w:pPr>
        <w:ind w:firstLineChars="147" w:firstLine="310"/>
        <w:rPr>
          <w:rFonts w:ascii="宋体" w:hAnsi="宋体"/>
          <w:b/>
          <w:szCs w:val="21"/>
        </w:rPr>
      </w:pPr>
      <w:r w:rsidRPr="002C5D67">
        <w:rPr>
          <w:rFonts w:ascii="宋体" w:hAnsi="宋体" w:hint="eastAsia"/>
          <w:b/>
          <w:szCs w:val="21"/>
        </w:rPr>
        <w:t>单位：MW</w:t>
      </w:r>
    </w:p>
    <w:p w:rsidR="00395917" w:rsidRPr="002C5D67" w:rsidRDefault="005B70A5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1919443"/>
            <wp:effectExtent l="19050" t="0" r="0" b="0"/>
            <wp:docPr id="11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191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17" w:rsidRPr="002C5D67" w:rsidRDefault="005B70A5" w:rsidP="00332C87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6272369" cy="2038350"/>
            <wp:effectExtent l="19050" t="0" r="0" b="0"/>
            <wp:docPr id="1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57" cy="20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080523" cy="2038350"/>
            <wp:effectExtent l="19050" t="0" r="0" b="0"/>
            <wp:docPr id="12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93" cy="203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87" w:rsidRDefault="00332C87" w:rsidP="00A22EDA">
      <w:pPr>
        <w:spacing w:line="240" w:lineRule="atLeast"/>
        <w:jc w:val="center"/>
        <w:rPr>
          <w:rFonts w:ascii="宋体" w:hAnsi="宋体"/>
          <w:b/>
          <w:noProof/>
          <w:sz w:val="30"/>
          <w:szCs w:val="30"/>
        </w:rPr>
      </w:pPr>
    </w:p>
    <w:p w:rsidR="00332C87" w:rsidRDefault="00332C87" w:rsidP="00A22EDA">
      <w:pPr>
        <w:spacing w:line="240" w:lineRule="atLeast"/>
        <w:jc w:val="center"/>
        <w:rPr>
          <w:rFonts w:ascii="宋体" w:hAnsi="宋体"/>
          <w:b/>
          <w:noProof/>
          <w:sz w:val="30"/>
          <w:szCs w:val="30"/>
        </w:rPr>
      </w:pPr>
    </w:p>
    <w:p w:rsidR="00A22EDA" w:rsidRPr="002C5D67" w:rsidRDefault="00A22EDA" w:rsidP="00A22EDA">
      <w:pPr>
        <w:spacing w:line="240" w:lineRule="atLeast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发电工程可研阶段完成的设计容量构成分析</w:t>
      </w:r>
    </w:p>
    <w:p w:rsidR="00A22EDA" w:rsidRPr="002C5D67" w:rsidRDefault="00A22EDA" w:rsidP="00A22EDA">
      <w:pPr>
        <w:ind w:firstLineChars="98" w:firstLine="207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单位：MW</w:t>
      </w:r>
    </w:p>
    <w:p w:rsidR="00A22EDA" w:rsidRPr="002C5D67" w:rsidRDefault="00034C30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1854672"/>
            <wp:effectExtent l="19050" t="0" r="0" b="0"/>
            <wp:docPr id="122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18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DA" w:rsidRPr="002C5D67" w:rsidRDefault="00FE4EDA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A22EDA" w:rsidRPr="002C5D67" w:rsidRDefault="00034C30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6191250" cy="2043713"/>
            <wp:effectExtent l="19050" t="0" r="0" b="0"/>
            <wp:docPr id="12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92" cy="20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105025" cy="2050878"/>
            <wp:effectExtent l="19050" t="0" r="9525" b="0"/>
            <wp:docPr id="12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64" cy="205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DA" w:rsidRPr="002C5D67" w:rsidRDefault="00A22EDA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A22EDA" w:rsidRPr="002C5D67" w:rsidRDefault="00A22EDA" w:rsidP="00A22EDA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lastRenderedPageBreak/>
        <w:t>发电初设阶段完成设计容量构成分析</w:t>
      </w:r>
    </w:p>
    <w:p w:rsidR="00A22EDA" w:rsidRPr="002C5D67" w:rsidRDefault="00A22EDA" w:rsidP="00AE5A8D">
      <w:pPr>
        <w:spacing w:line="240" w:lineRule="atLeast"/>
        <w:ind w:firstLineChars="196" w:firstLine="413"/>
        <w:rPr>
          <w:rFonts w:ascii="宋体" w:hAnsi="宋体"/>
          <w:b/>
          <w:szCs w:val="21"/>
        </w:rPr>
      </w:pPr>
      <w:r w:rsidRPr="002C5D67">
        <w:rPr>
          <w:rFonts w:ascii="宋体" w:hAnsi="宋体" w:hint="eastAsia"/>
          <w:b/>
          <w:szCs w:val="21"/>
        </w:rPr>
        <w:t>单位：MW</w:t>
      </w:r>
    </w:p>
    <w:p w:rsidR="00A22EDA" w:rsidRPr="002C5D67" w:rsidRDefault="00503DB2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1897604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189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17" w:rsidRPr="002C5D67" w:rsidRDefault="00395917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AE5A8D" w:rsidRPr="002C5D67" w:rsidRDefault="00503DB2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6240247" cy="2019300"/>
            <wp:effectExtent l="19050" t="0" r="8153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85" cy="20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83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143442" cy="2047875"/>
            <wp:effectExtent l="19050" t="0" r="9208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95" cy="205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17" w:rsidRPr="002C5D67" w:rsidRDefault="00395917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AE5A8D" w:rsidRPr="002C5D67" w:rsidRDefault="00AE5A8D" w:rsidP="00AE5A8D">
      <w:pPr>
        <w:spacing w:line="360" w:lineRule="auto"/>
        <w:jc w:val="center"/>
        <w:rPr>
          <w:rFonts w:ascii="宋体" w:hAnsi="宋体"/>
          <w:b/>
          <w:noProof/>
          <w:sz w:val="28"/>
          <w:szCs w:val="28"/>
        </w:rPr>
      </w:pPr>
      <w:r w:rsidRPr="002C5D67">
        <w:rPr>
          <w:rFonts w:ascii="宋体" w:hAnsi="宋体" w:hint="eastAsia"/>
          <w:b/>
          <w:noProof/>
          <w:sz w:val="28"/>
          <w:szCs w:val="28"/>
        </w:rPr>
        <w:lastRenderedPageBreak/>
        <w:t>发电工程施工图阶段完成设计容量构成分析</w:t>
      </w:r>
    </w:p>
    <w:p w:rsidR="00AE5A8D" w:rsidRPr="002C5D67" w:rsidRDefault="00AE5A8D" w:rsidP="00B72C68">
      <w:pPr>
        <w:ind w:firstLineChars="98" w:firstLine="207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单位：MW</w:t>
      </w:r>
    </w:p>
    <w:p w:rsidR="00AE5A8D" w:rsidRPr="002C5D67" w:rsidRDefault="0071630E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1885011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30" cy="18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8D" w:rsidRPr="002C5D67" w:rsidRDefault="00AE5A8D" w:rsidP="001B37AA">
      <w:pPr>
        <w:ind w:rightChars="-451" w:right="-947"/>
        <w:rPr>
          <w:rFonts w:ascii="宋体" w:hAnsi="宋体" w:cs="宋体"/>
          <w:kern w:val="0"/>
          <w:sz w:val="15"/>
          <w:szCs w:val="15"/>
        </w:rPr>
      </w:pPr>
    </w:p>
    <w:p w:rsidR="00AE5A8D" w:rsidRPr="002C5D67" w:rsidRDefault="0071630E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6477000" cy="2128558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69" cy="21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2145316" cy="2124075"/>
            <wp:effectExtent l="19050" t="0" r="7334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1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15" w:rsidRDefault="00BF7415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271FC0" w:rsidRPr="002C5D67" w:rsidRDefault="00271FC0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B72C68" w:rsidRPr="002E360D" w:rsidRDefault="00B72C68" w:rsidP="00D62C20">
      <w:pPr>
        <w:numPr>
          <w:ilvl w:val="1"/>
          <w:numId w:val="10"/>
        </w:numPr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lastRenderedPageBreak/>
        <w:t>变电工程完成情况分析</w:t>
      </w:r>
    </w:p>
    <w:p w:rsidR="00D62C20" w:rsidRPr="002C5D67" w:rsidRDefault="00D62C20" w:rsidP="00D62C20">
      <w:pPr>
        <w:pStyle w:val="a8"/>
        <w:spacing w:line="360" w:lineRule="auto"/>
        <w:ind w:left="425" w:firstLineChars="0" w:firstLine="0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变电工程初设阶段完成设计容量构成分析</w:t>
      </w:r>
    </w:p>
    <w:p w:rsidR="00D62C20" w:rsidRPr="002C5D67" w:rsidRDefault="00D62C20" w:rsidP="00D62C20">
      <w:pPr>
        <w:pStyle w:val="a8"/>
        <w:ind w:left="425" w:firstLineChars="0" w:firstLine="0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单位：MVA</w:t>
      </w:r>
    </w:p>
    <w:p w:rsidR="00CA7DA4" w:rsidRDefault="00DF0799" w:rsidP="001B37AA">
      <w:pPr>
        <w:ind w:rightChars="-451" w:right="-947"/>
        <w:rPr>
          <w:rFonts w:ascii="宋体" w:hAnsi="宋体" w:cs="宋体"/>
          <w:noProof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10575" cy="1914525"/>
            <wp:effectExtent l="19050" t="0" r="9525" b="0"/>
            <wp:docPr id="4" name="图片 3" descr="变电初设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电初设表.png"/>
                    <pic:cNvPicPr/>
                  </pic:nvPicPr>
                  <pic:blipFill>
                    <a:blip r:embed="rId151" cstate="print"/>
                    <a:srcRect t="15200" b="4400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FF" w:rsidRPr="002C5D67" w:rsidRDefault="00DF0799" w:rsidP="00332C87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2153920"/>
            <wp:effectExtent l="19050" t="0" r="0" b="0"/>
            <wp:docPr id="14" name="图片 13" descr="变电初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电初设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68" w:rsidRPr="002C5D67" w:rsidRDefault="00B72C68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F94499" w:rsidRPr="002C5D67" w:rsidRDefault="00F94499" w:rsidP="00F94499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变电工程施工图阶段完成设计容量构成分析</w:t>
      </w:r>
    </w:p>
    <w:p w:rsidR="00F94499" w:rsidRPr="002C5D67" w:rsidRDefault="00F94499" w:rsidP="00F94499">
      <w:pPr>
        <w:ind w:firstLineChars="98" w:firstLine="207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单位：MVA</w:t>
      </w:r>
    </w:p>
    <w:p w:rsidR="00B72C68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10575" cy="1828800"/>
            <wp:effectExtent l="19050" t="0" r="9525" b="0"/>
            <wp:docPr id="16" name="图片 15" descr="QQ图片2016051010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10100655.png"/>
                    <pic:cNvPicPr/>
                  </pic:nvPicPr>
                  <pic:blipFill>
                    <a:blip r:embed="rId153" cstate="print"/>
                    <a:srcRect t="19048" b="4762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68" w:rsidRPr="002C5D67" w:rsidRDefault="00B72C68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AE5A8D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2164715"/>
            <wp:effectExtent l="19050" t="0" r="0" b="0"/>
            <wp:docPr id="18" name="图片 17" descr="变电施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电施工图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9" w:rsidRPr="002C5D67" w:rsidRDefault="00F944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55124E" w:rsidRPr="002E360D" w:rsidRDefault="0055124E" w:rsidP="0055124E">
      <w:pPr>
        <w:numPr>
          <w:ilvl w:val="1"/>
          <w:numId w:val="10"/>
        </w:numPr>
        <w:rPr>
          <w:rFonts w:ascii="宋体" w:hAnsi="宋体"/>
          <w:b/>
          <w:noProof/>
          <w:sz w:val="28"/>
          <w:szCs w:val="28"/>
        </w:rPr>
      </w:pPr>
      <w:r w:rsidRPr="002E360D">
        <w:rPr>
          <w:rFonts w:ascii="宋体" w:hAnsi="宋体" w:hint="eastAsia"/>
          <w:b/>
          <w:noProof/>
          <w:sz w:val="28"/>
          <w:szCs w:val="28"/>
        </w:rPr>
        <w:lastRenderedPageBreak/>
        <w:t>送电工程完成情况分析</w:t>
      </w:r>
    </w:p>
    <w:p w:rsidR="0055124E" w:rsidRPr="002C5D67" w:rsidRDefault="0055124E" w:rsidP="0055124E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t>送电工程初设阶段完成设计容量构成分析</w:t>
      </w:r>
    </w:p>
    <w:p w:rsidR="0055124E" w:rsidRPr="002C5D67" w:rsidRDefault="0055124E" w:rsidP="0055124E">
      <w:pPr>
        <w:ind w:firstLineChars="147" w:firstLine="310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单位：km</w:t>
      </w:r>
    </w:p>
    <w:p w:rsidR="00F94499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10575" cy="1933575"/>
            <wp:effectExtent l="19050" t="0" r="9525" b="0"/>
            <wp:docPr id="23" name="图片 22" descr="送电初设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电初设表.png"/>
                    <pic:cNvPicPr/>
                  </pic:nvPicPr>
                  <pic:blipFill>
                    <a:blip r:embed="rId155" cstate="print"/>
                    <a:srcRect t="17814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9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2116455"/>
            <wp:effectExtent l="19050" t="0" r="0" b="0"/>
            <wp:docPr id="27" name="图片 26" descr="送电初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电初设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99" w:rsidRDefault="00DF0799" w:rsidP="0080400F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</w:p>
    <w:p w:rsidR="0080400F" w:rsidRPr="002C5D67" w:rsidRDefault="0080400F" w:rsidP="0080400F">
      <w:pPr>
        <w:spacing w:line="360" w:lineRule="auto"/>
        <w:jc w:val="center"/>
        <w:rPr>
          <w:rFonts w:ascii="宋体" w:hAnsi="宋体"/>
          <w:b/>
          <w:noProof/>
          <w:sz w:val="30"/>
          <w:szCs w:val="30"/>
        </w:rPr>
      </w:pPr>
      <w:r w:rsidRPr="002C5D67">
        <w:rPr>
          <w:rFonts w:ascii="宋体" w:hAnsi="宋体" w:hint="eastAsia"/>
          <w:b/>
          <w:noProof/>
          <w:sz w:val="30"/>
          <w:szCs w:val="30"/>
        </w:rPr>
        <w:lastRenderedPageBreak/>
        <w:t>送电工程施设阶段完成设计容量构成分析</w:t>
      </w:r>
    </w:p>
    <w:p w:rsidR="0080400F" w:rsidRPr="002C5D67" w:rsidRDefault="0080400F" w:rsidP="0080400F">
      <w:pPr>
        <w:spacing w:line="360" w:lineRule="auto"/>
        <w:ind w:firstLineChars="147" w:firstLine="310"/>
        <w:rPr>
          <w:rFonts w:ascii="宋体" w:hAnsi="宋体"/>
          <w:b/>
          <w:noProof/>
          <w:szCs w:val="21"/>
        </w:rPr>
      </w:pPr>
      <w:r w:rsidRPr="002C5D67">
        <w:rPr>
          <w:rFonts w:ascii="宋体" w:hAnsi="宋体" w:hint="eastAsia"/>
          <w:b/>
          <w:noProof/>
          <w:szCs w:val="21"/>
        </w:rPr>
        <w:t>单位：km</w:t>
      </w:r>
    </w:p>
    <w:p w:rsidR="00F94499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10575" cy="1943100"/>
            <wp:effectExtent l="19050" t="0" r="9525" b="0"/>
            <wp:docPr id="28" name="图片 27" descr="送电施工图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电施工图表.png"/>
                    <pic:cNvPicPr/>
                  </pic:nvPicPr>
                  <pic:blipFill>
                    <a:blip r:embed="rId157" cstate="print"/>
                    <a:srcRect t="15702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9" w:rsidRPr="002C5D67" w:rsidRDefault="00DF07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8406130" cy="2247265"/>
            <wp:effectExtent l="19050" t="0" r="0" b="0"/>
            <wp:docPr id="31" name="图片 30" descr="送电施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送电施工图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99" w:rsidRDefault="00F94499" w:rsidP="001B37AA">
      <w:pPr>
        <w:ind w:rightChars="-451" w:right="-947"/>
        <w:rPr>
          <w:rFonts w:ascii="宋体" w:hAnsi="宋体" w:cs="宋体"/>
          <w:kern w:val="0"/>
          <w:sz w:val="28"/>
          <w:szCs w:val="28"/>
        </w:rPr>
      </w:pPr>
    </w:p>
    <w:p w:rsidR="003D37E8" w:rsidRDefault="003D37E8" w:rsidP="003D37E8">
      <w:pPr>
        <w:ind w:rightChars="-451" w:right="-947"/>
      </w:pPr>
    </w:p>
    <w:sectPr w:rsidR="003D37E8" w:rsidSect="004828AE"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32" w:author="user" w:date="2016-05-11T09:41:00Z" w:initials="u">
    <w:p w:rsidR="00390C4C" w:rsidRDefault="00390C4C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建议取消“其他”并入勘测设计咨询类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F36" w:rsidRDefault="00FB3F36" w:rsidP="00C15F2D">
      <w:r>
        <w:separator/>
      </w:r>
    </w:p>
  </w:endnote>
  <w:endnote w:type="continuationSeparator" w:id="1">
    <w:p w:rsidR="00FB3F36" w:rsidRDefault="00FB3F36" w:rsidP="00C15F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C4C" w:rsidRDefault="000F59FD" w:rsidP="00C15F2D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90C4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90C4C" w:rsidRDefault="00390C4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14460"/>
      <w:docPartObj>
        <w:docPartGallery w:val="Page Numbers (Bottom of Page)"/>
        <w:docPartUnique/>
      </w:docPartObj>
    </w:sdtPr>
    <w:sdtContent>
      <w:p w:rsidR="00390C4C" w:rsidRDefault="000F59FD" w:rsidP="00860BD0">
        <w:pPr>
          <w:pStyle w:val="a4"/>
          <w:framePr w:wrap="around" w:vAnchor="text" w:hAnchor="margin" w:xAlign="center" w:y="1"/>
          <w:jc w:val="center"/>
        </w:pPr>
        <w:fldSimple w:instr=" PAGE   \* MERGEFORMAT ">
          <w:r w:rsidR="00390C4C" w:rsidRPr="000A7308">
            <w:rPr>
              <w:noProof/>
              <w:lang w:val="zh-CN"/>
            </w:rPr>
            <w:t>2</w:t>
          </w:r>
        </w:fldSimple>
      </w:p>
    </w:sdtContent>
  </w:sdt>
  <w:p w:rsidR="00390C4C" w:rsidRDefault="00390C4C" w:rsidP="004A04CD">
    <w:pPr>
      <w:pStyle w:val="a4"/>
      <w:framePr w:wrap="around" w:vAnchor="text" w:hAnchor="margin" w:xAlign="center" w:y="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C4C" w:rsidRDefault="00390C4C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14463"/>
      <w:docPartObj>
        <w:docPartGallery w:val="Page Numbers (Bottom of Page)"/>
        <w:docPartUnique/>
      </w:docPartObj>
    </w:sdtPr>
    <w:sdtContent>
      <w:p w:rsidR="00390C4C" w:rsidRDefault="000F59FD" w:rsidP="00860BD0">
        <w:pPr>
          <w:pStyle w:val="a4"/>
          <w:framePr w:wrap="around" w:vAnchor="text" w:hAnchor="margin" w:xAlign="center" w:y="1"/>
          <w:jc w:val="center"/>
        </w:pPr>
        <w:fldSimple w:instr=" PAGE   \* MERGEFORMAT ">
          <w:r w:rsidR="00372732" w:rsidRPr="00372732">
            <w:rPr>
              <w:noProof/>
              <w:lang w:val="zh-CN"/>
            </w:rPr>
            <w:t>1</w:t>
          </w:r>
        </w:fldSimple>
      </w:p>
    </w:sdtContent>
  </w:sdt>
  <w:p w:rsidR="00390C4C" w:rsidRDefault="00390C4C" w:rsidP="004A04CD">
    <w:pPr>
      <w:pStyle w:val="a4"/>
      <w:framePr w:wrap="around" w:vAnchor="text" w:hAnchor="margin" w:xAlign="center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F36" w:rsidRDefault="00FB3F36" w:rsidP="00C15F2D">
      <w:r>
        <w:separator/>
      </w:r>
    </w:p>
  </w:footnote>
  <w:footnote w:type="continuationSeparator" w:id="1">
    <w:p w:rsidR="00FB3F36" w:rsidRDefault="00FB3F36" w:rsidP="00C15F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C4C" w:rsidRDefault="00390C4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B3F36">
    <w:pPr>
      <w:pStyle w:val="a3"/>
      <w:pBdr>
        <w:bottom w:val="none" w:sz="0" w:space="0" w:color="auto"/>
      </w:pBdr>
      <w:jc w:val="both"/>
      <w:pPrChange w:id="0" w:author="马伟娜" w:date="2016-05-18T08:53:00Z">
        <w:pPr>
          <w:pStyle w:val="a3"/>
          <w:jc w:val="both"/>
        </w:pPr>
      </w:pPrChange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B3F36">
    <w:pPr>
      <w:pStyle w:val="a3"/>
      <w:pBdr>
        <w:bottom w:val="none" w:sz="0" w:space="0" w:color="auto"/>
      </w:pBdr>
      <w:pPrChange w:id="1" w:author="马伟娜" w:date="2016-05-18T08:53:00Z">
        <w:pPr>
          <w:pStyle w:val="a3"/>
        </w:pPr>
      </w:pPrChange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FB3F36">
    <w:pPr>
      <w:pStyle w:val="a3"/>
      <w:pBdr>
        <w:bottom w:val="none" w:sz="0" w:space="0" w:color="auto"/>
      </w:pBdr>
      <w:pPrChange w:id="2" w:author="马伟娜" w:date="2016-05-18T08:53:00Z">
        <w:pPr>
          <w:pStyle w:val="a3"/>
        </w:pPr>
      </w:pPrChange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D7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0B83465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">
    <w:nsid w:val="0CB5339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">
    <w:nsid w:val="154C2C1B"/>
    <w:multiLevelType w:val="hybridMultilevel"/>
    <w:tmpl w:val="C55A877E"/>
    <w:lvl w:ilvl="0" w:tplc="3F844086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4">
    <w:nsid w:val="1DB01E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5">
    <w:nsid w:val="2CAE48B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6">
    <w:nsid w:val="2DEB54F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7">
    <w:nsid w:val="307819D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8">
    <w:nsid w:val="3A51771A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>
    <w:nsid w:val="3AF177F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0">
    <w:nsid w:val="4116307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1">
    <w:nsid w:val="42C82857"/>
    <w:multiLevelType w:val="hybridMultilevel"/>
    <w:tmpl w:val="77429B7E"/>
    <w:lvl w:ilvl="0" w:tplc="B23E9A00">
      <w:start w:val="1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2">
    <w:nsid w:val="4414647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3">
    <w:nsid w:val="4BE30A24"/>
    <w:multiLevelType w:val="hybridMultilevel"/>
    <w:tmpl w:val="42D423D8"/>
    <w:lvl w:ilvl="0" w:tplc="A00C909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12A0A7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5">
    <w:nsid w:val="526B267B"/>
    <w:multiLevelType w:val="hybridMultilevel"/>
    <w:tmpl w:val="213C5B9E"/>
    <w:lvl w:ilvl="0" w:tplc="25128476">
      <w:start w:val="1"/>
      <w:numFmt w:val="decimal"/>
      <w:lvlText w:val="%1、"/>
      <w:lvlJc w:val="left"/>
      <w:pPr>
        <w:ind w:left="118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8" w:hanging="420"/>
      </w:pPr>
    </w:lvl>
    <w:lvl w:ilvl="2" w:tplc="0409001B" w:tentative="1">
      <w:start w:val="1"/>
      <w:numFmt w:val="lowerRoman"/>
      <w:lvlText w:val="%3."/>
      <w:lvlJc w:val="right"/>
      <w:pPr>
        <w:ind w:left="2088" w:hanging="420"/>
      </w:pPr>
    </w:lvl>
    <w:lvl w:ilvl="3" w:tplc="0409000F" w:tentative="1">
      <w:start w:val="1"/>
      <w:numFmt w:val="decimal"/>
      <w:lvlText w:val="%4."/>
      <w:lvlJc w:val="left"/>
      <w:pPr>
        <w:ind w:left="2508" w:hanging="420"/>
      </w:pPr>
    </w:lvl>
    <w:lvl w:ilvl="4" w:tplc="04090019" w:tentative="1">
      <w:start w:val="1"/>
      <w:numFmt w:val="lowerLetter"/>
      <w:lvlText w:val="%5)"/>
      <w:lvlJc w:val="left"/>
      <w:pPr>
        <w:ind w:left="2928" w:hanging="420"/>
      </w:pPr>
    </w:lvl>
    <w:lvl w:ilvl="5" w:tplc="0409001B" w:tentative="1">
      <w:start w:val="1"/>
      <w:numFmt w:val="lowerRoman"/>
      <w:lvlText w:val="%6."/>
      <w:lvlJc w:val="right"/>
      <w:pPr>
        <w:ind w:left="3348" w:hanging="420"/>
      </w:pPr>
    </w:lvl>
    <w:lvl w:ilvl="6" w:tplc="0409000F" w:tentative="1">
      <w:start w:val="1"/>
      <w:numFmt w:val="decimal"/>
      <w:lvlText w:val="%7."/>
      <w:lvlJc w:val="left"/>
      <w:pPr>
        <w:ind w:left="3768" w:hanging="420"/>
      </w:pPr>
    </w:lvl>
    <w:lvl w:ilvl="7" w:tplc="04090019" w:tentative="1">
      <w:start w:val="1"/>
      <w:numFmt w:val="lowerLetter"/>
      <w:lvlText w:val="%8)"/>
      <w:lvlJc w:val="left"/>
      <w:pPr>
        <w:ind w:left="4188" w:hanging="420"/>
      </w:pPr>
    </w:lvl>
    <w:lvl w:ilvl="8" w:tplc="0409001B" w:tentative="1">
      <w:start w:val="1"/>
      <w:numFmt w:val="lowerRoman"/>
      <w:lvlText w:val="%9."/>
      <w:lvlJc w:val="right"/>
      <w:pPr>
        <w:ind w:left="4608" w:hanging="420"/>
      </w:pPr>
    </w:lvl>
  </w:abstractNum>
  <w:abstractNum w:abstractNumId="16">
    <w:nsid w:val="546F5CE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7">
    <w:nsid w:val="5A5A084F"/>
    <w:multiLevelType w:val="hybridMultilevel"/>
    <w:tmpl w:val="2CFE64BC"/>
    <w:lvl w:ilvl="0" w:tplc="F7947392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B26428A2">
      <w:start w:val="1"/>
      <w:numFmt w:val="decimal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62551973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9">
    <w:nsid w:val="65540FE3"/>
    <w:multiLevelType w:val="hybridMultilevel"/>
    <w:tmpl w:val="EB4C4C00"/>
    <w:lvl w:ilvl="0" w:tplc="4B3819FA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20">
    <w:nsid w:val="65A9476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1">
    <w:nsid w:val="6D9D6948"/>
    <w:multiLevelType w:val="hybridMultilevel"/>
    <w:tmpl w:val="F80479E8"/>
    <w:lvl w:ilvl="0" w:tplc="F92A8182">
      <w:start w:val="1"/>
      <w:numFmt w:val="japaneseCounting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>
    <w:nsid w:val="6E7F42FC"/>
    <w:multiLevelType w:val="hybridMultilevel"/>
    <w:tmpl w:val="ACA83F60"/>
    <w:lvl w:ilvl="0" w:tplc="0EEE4072">
      <w:start w:val="1"/>
      <w:numFmt w:val="decimal"/>
      <w:lvlText w:val="%1、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23">
    <w:nsid w:val="72BC5BE7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4">
    <w:nsid w:val="7FFA7FF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7"/>
  </w:num>
  <w:num w:numId="2">
    <w:abstractNumId w:val="20"/>
  </w:num>
  <w:num w:numId="3">
    <w:abstractNumId w:val="18"/>
  </w:num>
  <w:num w:numId="4">
    <w:abstractNumId w:val="9"/>
  </w:num>
  <w:num w:numId="5">
    <w:abstractNumId w:val="7"/>
  </w:num>
  <w:num w:numId="6">
    <w:abstractNumId w:val="4"/>
  </w:num>
  <w:num w:numId="7">
    <w:abstractNumId w:val="10"/>
  </w:num>
  <w:num w:numId="8">
    <w:abstractNumId w:val="14"/>
  </w:num>
  <w:num w:numId="9">
    <w:abstractNumId w:val="12"/>
  </w:num>
  <w:num w:numId="10">
    <w:abstractNumId w:val="1"/>
  </w:num>
  <w:num w:numId="11">
    <w:abstractNumId w:val="5"/>
  </w:num>
  <w:num w:numId="12">
    <w:abstractNumId w:val="0"/>
  </w:num>
  <w:num w:numId="13">
    <w:abstractNumId w:val="16"/>
  </w:num>
  <w:num w:numId="14">
    <w:abstractNumId w:val="24"/>
  </w:num>
  <w:num w:numId="15">
    <w:abstractNumId w:val="6"/>
  </w:num>
  <w:num w:numId="16">
    <w:abstractNumId w:val="2"/>
  </w:num>
  <w:num w:numId="17">
    <w:abstractNumId w:val="23"/>
  </w:num>
  <w:num w:numId="18">
    <w:abstractNumId w:val="8"/>
  </w:num>
  <w:num w:numId="19">
    <w:abstractNumId w:val="21"/>
  </w:num>
  <w:num w:numId="20">
    <w:abstractNumId w:val="13"/>
  </w:num>
  <w:num w:numId="21">
    <w:abstractNumId w:val="15"/>
  </w:num>
  <w:num w:numId="22">
    <w:abstractNumId w:val="3"/>
  </w:num>
  <w:num w:numId="23">
    <w:abstractNumId w:val="22"/>
  </w:num>
  <w:num w:numId="24">
    <w:abstractNumId w:val="19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4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F2D"/>
    <w:rsid w:val="0000240B"/>
    <w:rsid w:val="000042EA"/>
    <w:rsid w:val="00011179"/>
    <w:rsid w:val="00017CE1"/>
    <w:rsid w:val="0002728E"/>
    <w:rsid w:val="00027CCA"/>
    <w:rsid w:val="00031BCE"/>
    <w:rsid w:val="00034C30"/>
    <w:rsid w:val="00036AF8"/>
    <w:rsid w:val="00037853"/>
    <w:rsid w:val="000379A9"/>
    <w:rsid w:val="0004741D"/>
    <w:rsid w:val="00047BB3"/>
    <w:rsid w:val="00052910"/>
    <w:rsid w:val="00061904"/>
    <w:rsid w:val="0006334C"/>
    <w:rsid w:val="00073569"/>
    <w:rsid w:val="00076FFB"/>
    <w:rsid w:val="000776BD"/>
    <w:rsid w:val="000802FF"/>
    <w:rsid w:val="0008784E"/>
    <w:rsid w:val="00090394"/>
    <w:rsid w:val="0009096B"/>
    <w:rsid w:val="00093D6E"/>
    <w:rsid w:val="00093D79"/>
    <w:rsid w:val="00095167"/>
    <w:rsid w:val="0009540F"/>
    <w:rsid w:val="000A486D"/>
    <w:rsid w:val="000A7308"/>
    <w:rsid w:val="000B0B20"/>
    <w:rsid w:val="000B1590"/>
    <w:rsid w:val="000B773C"/>
    <w:rsid w:val="000C1BB2"/>
    <w:rsid w:val="000C28FE"/>
    <w:rsid w:val="000C42F6"/>
    <w:rsid w:val="000C6BAE"/>
    <w:rsid w:val="000C7CD8"/>
    <w:rsid w:val="000D01E8"/>
    <w:rsid w:val="000D506C"/>
    <w:rsid w:val="000D61FC"/>
    <w:rsid w:val="000D7C27"/>
    <w:rsid w:val="000E43F8"/>
    <w:rsid w:val="000E5B46"/>
    <w:rsid w:val="000E771F"/>
    <w:rsid w:val="000E7C29"/>
    <w:rsid w:val="000F2DCA"/>
    <w:rsid w:val="000F4229"/>
    <w:rsid w:val="000F4F8B"/>
    <w:rsid w:val="000F59FD"/>
    <w:rsid w:val="001016AC"/>
    <w:rsid w:val="00105896"/>
    <w:rsid w:val="00107B74"/>
    <w:rsid w:val="00110FF9"/>
    <w:rsid w:val="001303CA"/>
    <w:rsid w:val="00131A18"/>
    <w:rsid w:val="00135359"/>
    <w:rsid w:val="001363D6"/>
    <w:rsid w:val="00137D68"/>
    <w:rsid w:val="00142935"/>
    <w:rsid w:val="00142EB2"/>
    <w:rsid w:val="00151150"/>
    <w:rsid w:val="00151185"/>
    <w:rsid w:val="0016475F"/>
    <w:rsid w:val="00164783"/>
    <w:rsid w:val="00166D90"/>
    <w:rsid w:val="00167509"/>
    <w:rsid w:val="00180A2C"/>
    <w:rsid w:val="00181148"/>
    <w:rsid w:val="001813C3"/>
    <w:rsid w:val="0018152E"/>
    <w:rsid w:val="00182719"/>
    <w:rsid w:val="00190194"/>
    <w:rsid w:val="00190A0C"/>
    <w:rsid w:val="0019323D"/>
    <w:rsid w:val="00193718"/>
    <w:rsid w:val="00194B90"/>
    <w:rsid w:val="001A074C"/>
    <w:rsid w:val="001A2B7B"/>
    <w:rsid w:val="001A369E"/>
    <w:rsid w:val="001A3C3D"/>
    <w:rsid w:val="001A7032"/>
    <w:rsid w:val="001A7706"/>
    <w:rsid w:val="001B37AA"/>
    <w:rsid w:val="001B7DD0"/>
    <w:rsid w:val="001C044C"/>
    <w:rsid w:val="001C0EBB"/>
    <w:rsid w:val="001C401C"/>
    <w:rsid w:val="001C41EB"/>
    <w:rsid w:val="001D0096"/>
    <w:rsid w:val="001D26D1"/>
    <w:rsid w:val="001D2BB4"/>
    <w:rsid w:val="001D3991"/>
    <w:rsid w:val="001D4F0D"/>
    <w:rsid w:val="001D6F18"/>
    <w:rsid w:val="001E6670"/>
    <w:rsid w:val="001E7F9D"/>
    <w:rsid w:val="001F1BC5"/>
    <w:rsid w:val="001F332D"/>
    <w:rsid w:val="00200CC2"/>
    <w:rsid w:val="00206472"/>
    <w:rsid w:val="00215850"/>
    <w:rsid w:val="00222BDE"/>
    <w:rsid w:val="00232F40"/>
    <w:rsid w:val="00233DDD"/>
    <w:rsid w:val="002343EF"/>
    <w:rsid w:val="00234A77"/>
    <w:rsid w:val="00242953"/>
    <w:rsid w:val="00245D11"/>
    <w:rsid w:val="00245E43"/>
    <w:rsid w:val="002524EA"/>
    <w:rsid w:val="002534ED"/>
    <w:rsid w:val="00260EAC"/>
    <w:rsid w:val="0026153C"/>
    <w:rsid w:val="002652DC"/>
    <w:rsid w:val="002652E4"/>
    <w:rsid w:val="00267539"/>
    <w:rsid w:val="00271F86"/>
    <w:rsid w:val="00271FC0"/>
    <w:rsid w:val="002744C9"/>
    <w:rsid w:val="00274512"/>
    <w:rsid w:val="00277CA1"/>
    <w:rsid w:val="00283C6D"/>
    <w:rsid w:val="00284D97"/>
    <w:rsid w:val="00290177"/>
    <w:rsid w:val="002952BF"/>
    <w:rsid w:val="002958AE"/>
    <w:rsid w:val="00295E61"/>
    <w:rsid w:val="002960A4"/>
    <w:rsid w:val="002A7641"/>
    <w:rsid w:val="002C5D67"/>
    <w:rsid w:val="002C6E29"/>
    <w:rsid w:val="002D3371"/>
    <w:rsid w:val="002E0A78"/>
    <w:rsid w:val="002E2FAE"/>
    <w:rsid w:val="002E360D"/>
    <w:rsid w:val="002E6C35"/>
    <w:rsid w:val="002F4083"/>
    <w:rsid w:val="002F602F"/>
    <w:rsid w:val="002F70A6"/>
    <w:rsid w:val="0030120F"/>
    <w:rsid w:val="00301C9D"/>
    <w:rsid w:val="003041C1"/>
    <w:rsid w:val="00306125"/>
    <w:rsid w:val="00307CA3"/>
    <w:rsid w:val="003107BA"/>
    <w:rsid w:val="00313D5A"/>
    <w:rsid w:val="00317E0B"/>
    <w:rsid w:val="003216A3"/>
    <w:rsid w:val="00321CE2"/>
    <w:rsid w:val="00322138"/>
    <w:rsid w:val="00326786"/>
    <w:rsid w:val="003302E7"/>
    <w:rsid w:val="00332C87"/>
    <w:rsid w:val="00333FA3"/>
    <w:rsid w:val="00345557"/>
    <w:rsid w:val="003459B8"/>
    <w:rsid w:val="00356035"/>
    <w:rsid w:val="00360B75"/>
    <w:rsid w:val="00366677"/>
    <w:rsid w:val="00371875"/>
    <w:rsid w:val="00372732"/>
    <w:rsid w:val="00374A03"/>
    <w:rsid w:val="003808A2"/>
    <w:rsid w:val="00381644"/>
    <w:rsid w:val="003822ED"/>
    <w:rsid w:val="003828D5"/>
    <w:rsid w:val="00383F87"/>
    <w:rsid w:val="00385706"/>
    <w:rsid w:val="003863B7"/>
    <w:rsid w:val="00390C4C"/>
    <w:rsid w:val="00395917"/>
    <w:rsid w:val="003A3AC0"/>
    <w:rsid w:val="003A60BC"/>
    <w:rsid w:val="003A7A90"/>
    <w:rsid w:val="003C0B9F"/>
    <w:rsid w:val="003C3735"/>
    <w:rsid w:val="003C56B3"/>
    <w:rsid w:val="003C70DF"/>
    <w:rsid w:val="003D2552"/>
    <w:rsid w:val="003D2B6B"/>
    <w:rsid w:val="003D37E8"/>
    <w:rsid w:val="003D755F"/>
    <w:rsid w:val="003E0DB8"/>
    <w:rsid w:val="003E7DEA"/>
    <w:rsid w:val="00400490"/>
    <w:rsid w:val="00406AEB"/>
    <w:rsid w:val="00411522"/>
    <w:rsid w:val="00413F66"/>
    <w:rsid w:val="0041618D"/>
    <w:rsid w:val="004244A5"/>
    <w:rsid w:val="00432842"/>
    <w:rsid w:val="00433E78"/>
    <w:rsid w:val="00435999"/>
    <w:rsid w:val="0044113E"/>
    <w:rsid w:val="00441F96"/>
    <w:rsid w:val="0044434F"/>
    <w:rsid w:val="00451EC9"/>
    <w:rsid w:val="004547F0"/>
    <w:rsid w:val="0045668F"/>
    <w:rsid w:val="00457111"/>
    <w:rsid w:val="00457C56"/>
    <w:rsid w:val="00461E11"/>
    <w:rsid w:val="00462552"/>
    <w:rsid w:val="00466CD0"/>
    <w:rsid w:val="004828AE"/>
    <w:rsid w:val="00482ED8"/>
    <w:rsid w:val="00487CE7"/>
    <w:rsid w:val="00487FDD"/>
    <w:rsid w:val="004921DB"/>
    <w:rsid w:val="00494119"/>
    <w:rsid w:val="00494244"/>
    <w:rsid w:val="00494794"/>
    <w:rsid w:val="004971E7"/>
    <w:rsid w:val="004A04CD"/>
    <w:rsid w:val="004A4B7A"/>
    <w:rsid w:val="004B66F1"/>
    <w:rsid w:val="004B7492"/>
    <w:rsid w:val="004C0AD5"/>
    <w:rsid w:val="004C14CE"/>
    <w:rsid w:val="004C21B0"/>
    <w:rsid w:val="004C36E2"/>
    <w:rsid w:val="004C4D42"/>
    <w:rsid w:val="004D495B"/>
    <w:rsid w:val="004E725E"/>
    <w:rsid w:val="004F037C"/>
    <w:rsid w:val="004F0D9E"/>
    <w:rsid w:val="004F12D8"/>
    <w:rsid w:val="004F2713"/>
    <w:rsid w:val="004F41E3"/>
    <w:rsid w:val="00503DB2"/>
    <w:rsid w:val="0050561C"/>
    <w:rsid w:val="00523C7A"/>
    <w:rsid w:val="005244D3"/>
    <w:rsid w:val="00532350"/>
    <w:rsid w:val="005430A3"/>
    <w:rsid w:val="005456B5"/>
    <w:rsid w:val="0055124E"/>
    <w:rsid w:val="00551DDA"/>
    <w:rsid w:val="0055540E"/>
    <w:rsid w:val="00562C22"/>
    <w:rsid w:val="00563EDF"/>
    <w:rsid w:val="005648A9"/>
    <w:rsid w:val="00564F95"/>
    <w:rsid w:val="00565D52"/>
    <w:rsid w:val="00566D33"/>
    <w:rsid w:val="00573DFB"/>
    <w:rsid w:val="005742D9"/>
    <w:rsid w:val="0058457D"/>
    <w:rsid w:val="00587EAC"/>
    <w:rsid w:val="00590B7B"/>
    <w:rsid w:val="00591247"/>
    <w:rsid w:val="00591C60"/>
    <w:rsid w:val="00591FDF"/>
    <w:rsid w:val="0059337A"/>
    <w:rsid w:val="00596065"/>
    <w:rsid w:val="0059687F"/>
    <w:rsid w:val="005A737F"/>
    <w:rsid w:val="005A78B7"/>
    <w:rsid w:val="005B1DA0"/>
    <w:rsid w:val="005B51E1"/>
    <w:rsid w:val="005B70A5"/>
    <w:rsid w:val="005C4F0A"/>
    <w:rsid w:val="005D28F7"/>
    <w:rsid w:val="005D57C4"/>
    <w:rsid w:val="005D7651"/>
    <w:rsid w:val="005E497F"/>
    <w:rsid w:val="005E5FCF"/>
    <w:rsid w:val="005E6F03"/>
    <w:rsid w:val="005E7DBD"/>
    <w:rsid w:val="005F3FCC"/>
    <w:rsid w:val="005F6338"/>
    <w:rsid w:val="0060459F"/>
    <w:rsid w:val="006059E7"/>
    <w:rsid w:val="00610814"/>
    <w:rsid w:val="00632F6F"/>
    <w:rsid w:val="00633B33"/>
    <w:rsid w:val="00633CBF"/>
    <w:rsid w:val="0063527C"/>
    <w:rsid w:val="00635BFD"/>
    <w:rsid w:val="0064596A"/>
    <w:rsid w:val="00655BFC"/>
    <w:rsid w:val="00655ED3"/>
    <w:rsid w:val="0065603B"/>
    <w:rsid w:val="00656834"/>
    <w:rsid w:val="00657F10"/>
    <w:rsid w:val="0066347F"/>
    <w:rsid w:val="00667D8D"/>
    <w:rsid w:val="0067160E"/>
    <w:rsid w:val="00672876"/>
    <w:rsid w:val="00675EC9"/>
    <w:rsid w:val="00680D93"/>
    <w:rsid w:val="0069037C"/>
    <w:rsid w:val="006955A2"/>
    <w:rsid w:val="00695F2A"/>
    <w:rsid w:val="006B2B95"/>
    <w:rsid w:val="006B5AD7"/>
    <w:rsid w:val="006B65B4"/>
    <w:rsid w:val="006C044E"/>
    <w:rsid w:val="006C1867"/>
    <w:rsid w:val="006C1A4C"/>
    <w:rsid w:val="006C5DD2"/>
    <w:rsid w:val="006E3D73"/>
    <w:rsid w:val="006E6576"/>
    <w:rsid w:val="0070219E"/>
    <w:rsid w:val="00705086"/>
    <w:rsid w:val="00710104"/>
    <w:rsid w:val="00711568"/>
    <w:rsid w:val="00715348"/>
    <w:rsid w:val="0071630E"/>
    <w:rsid w:val="00723254"/>
    <w:rsid w:val="007349FB"/>
    <w:rsid w:val="00736EC2"/>
    <w:rsid w:val="007472E8"/>
    <w:rsid w:val="00760CF6"/>
    <w:rsid w:val="00761052"/>
    <w:rsid w:val="0076525E"/>
    <w:rsid w:val="00767979"/>
    <w:rsid w:val="00775F8B"/>
    <w:rsid w:val="00797108"/>
    <w:rsid w:val="007A267A"/>
    <w:rsid w:val="007A3B4F"/>
    <w:rsid w:val="007A5DA1"/>
    <w:rsid w:val="007A6666"/>
    <w:rsid w:val="007B6B59"/>
    <w:rsid w:val="007C691E"/>
    <w:rsid w:val="007C79D7"/>
    <w:rsid w:val="007D212F"/>
    <w:rsid w:val="007D2730"/>
    <w:rsid w:val="007D4FD8"/>
    <w:rsid w:val="007E0D78"/>
    <w:rsid w:val="007E151D"/>
    <w:rsid w:val="007E2780"/>
    <w:rsid w:val="007E7E02"/>
    <w:rsid w:val="007F35E9"/>
    <w:rsid w:val="007F3628"/>
    <w:rsid w:val="007F56B5"/>
    <w:rsid w:val="008026DA"/>
    <w:rsid w:val="0080400F"/>
    <w:rsid w:val="00804FA3"/>
    <w:rsid w:val="008176E6"/>
    <w:rsid w:val="008271CF"/>
    <w:rsid w:val="00842DF8"/>
    <w:rsid w:val="0084504A"/>
    <w:rsid w:val="00845D4D"/>
    <w:rsid w:val="00847515"/>
    <w:rsid w:val="00852813"/>
    <w:rsid w:val="00855D11"/>
    <w:rsid w:val="0085615F"/>
    <w:rsid w:val="00857477"/>
    <w:rsid w:val="00860BD0"/>
    <w:rsid w:val="008612F2"/>
    <w:rsid w:val="008615BE"/>
    <w:rsid w:val="00873B5F"/>
    <w:rsid w:val="0087436E"/>
    <w:rsid w:val="0087768A"/>
    <w:rsid w:val="008778CF"/>
    <w:rsid w:val="008844AC"/>
    <w:rsid w:val="008849FF"/>
    <w:rsid w:val="00893D01"/>
    <w:rsid w:val="0089440C"/>
    <w:rsid w:val="008947D9"/>
    <w:rsid w:val="0089617B"/>
    <w:rsid w:val="008B2917"/>
    <w:rsid w:val="008D4720"/>
    <w:rsid w:val="008E13AB"/>
    <w:rsid w:val="008E19DE"/>
    <w:rsid w:val="008E1EAE"/>
    <w:rsid w:val="008E5A46"/>
    <w:rsid w:val="008E7CE9"/>
    <w:rsid w:val="008F5905"/>
    <w:rsid w:val="008F61D5"/>
    <w:rsid w:val="00913725"/>
    <w:rsid w:val="00920A06"/>
    <w:rsid w:val="00923FC0"/>
    <w:rsid w:val="00930D23"/>
    <w:rsid w:val="00945001"/>
    <w:rsid w:val="009461EF"/>
    <w:rsid w:val="00946E28"/>
    <w:rsid w:val="00966E92"/>
    <w:rsid w:val="0097344E"/>
    <w:rsid w:val="009751F8"/>
    <w:rsid w:val="0097562C"/>
    <w:rsid w:val="0097579F"/>
    <w:rsid w:val="0098690F"/>
    <w:rsid w:val="00987E63"/>
    <w:rsid w:val="00992484"/>
    <w:rsid w:val="009A3D08"/>
    <w:rsid w:val="009A4277"/>
    <w:rsid w:val="009A499D"/>
    <w:rsid w:val="009A5A4D"/>
    <w:rsid w:val="009B4DBE"/>
    <w:rsid w:val="009B54C0"/>
    <w:rsid w:val="009B5709"/>
    <w:rsid w:val="009B6EA4"/>
    <w:rsid w:val="009B6FA6"/>
    <w:rsid w:val="009C1E5B"/>
    <w:rsid w:val="009D3AAB"/>
    <w:rsid w:val="009D5861"/>
    <w:rsid w:val="009D75B7"/>
    <w:rsid w:val="009E1FFF"/>
    <w:rsid w:val="009E4A7C"/>
    <w:rsid w:val="009E50A2"/>
    <w:rsid w:val="009E5697"/>
    <w:rsid w:val="009F0A2E"/>
    <w:rsid w:val="009F765F"/>
    <w:rsid w:val="00A007E8"/>
    <w:rsid w:val="00A00EA6"/>
    <w:rsid w:val="00A04D2F"/>
    <w:rsid w:val="00A07708"/>
    <w:rsid w:val="00A101BD"/>
    <w:rsid w:val="00A108C7"/>
    <w:rsid w:val="00A10D7D"/>
    <w:rsid w:val="00A1400A"/>
    <w:rsid w:val="00A153E9"/>
    <w:rsid w:val="00A22013"/>
    <w:rsid w:val="00A22EDA"/>
    <w:rsid w:val="00A2383F"/>
    <w:rsid w:val="00A25CC2"/>
    <w:rsid w:val="00A25CCB"/>
    <w:rsid w:val="00A31138"/>
    <w:rsid w:val="00A35046"/>
    <w:rsid w:val="00A35766"/>
    <w:rsid w:val="00A4351F"/>
    <w:rsid w:val="00A43E3C"/>
    <w:rsid w:val="00A4406F"/>
    <w:rsid w:val="00A53C44"/>
    <w:rsid w:val="00A6323C"/>
    <w:rsid w:val="00A6528B"/>
    <w:rsid w:val="00A70914"/>
    <w:rsid w:val="00A7336E"/>
    <w:rsid w:val="00A74DB2"/>
    <w:rsid w:val="00A751E9"/>
    <w:rsid w:val="00A76EBD"/>
    <w:rsid w:val="00A77213"/>
    <w:rsid w:val="00A80F50"/>
    <w:rsid w:val="00A83584"/>
    <w:rsid w:val="00A86A9E"/>
    <w:rsid w:val="00A91897"/>
    <w:rsid w:val="00A927D5"/>
    <w:rsid w:val="00A94E36"/>
    <w:rsid w:val="00A970F5"/>
    <w:rsid w:val="00AA5C94"/>
    <w:rsid w:val="00AA67F4"/>
    <w:rsid w:val="00AA7827"/>
    <w:rsid w:val="00AC07CE"/>
    <w:rsid w:val="00AC0B7A"/>
    <w:rsid w:val="00AC3700"/>
    <w:rsid w:val="00AC5A20"/>
    <w:rsid w:val="00AD0519"/>
    <w:rsid w:val="00AD0FE7"/>
    <w:rsid w:val="00AD39BD"/>
    <w:rsid w:val="00AE02FF"/>
    <w:rsid w:val="00AE470F"/>
    <w:rsid w:val="00AE5A8D"/>
    <w:rsid w:val="00AE5DEC"/>
    <w:rsid w:val="00AF1FEE"/>
    <w:rsid w:val="00AF3F1C"/>
    <w:rsid w:val="00AF4CF9"/>
    <w:rsid w:val="00B05FFF"/>
    <w:rsid w:val="00B07325"/>
    <w:rsid w:val="00B11099"/>
    <w:rsid w:val="00B110FC"/>
    <w:rsid w:val="00B125DC"/>
    <w:rsid w:val="00B148FF"/>
    <w:rsid w:val="00B15C17"/>
    <w:rsid w:val="00B160F8"/>
    <w:rsid w:val="00B2315A"/>
    <w:rsid w:val="00B2634E"/>
    <w:rsid w:val="00B304A8"/>
    <w:rsid w:val="00B32154"/>
    <w:rsid w:val="00B33EBF"/>
    <w:rsid w:val="00B43D51"/>
    <w:rsid w:val="00B43E23"/>
    <w:rsid w:val="00B43F20"/>
    <w:rsid w:val="00B5273C"/>
    <w:rsid w:val="00B633A1"/>
    <w:rsid w:val="00B721EE"/>
    <w:rsid w:val="00B72C68"/>
    <w:rsid w:val="00B74CD5"/>
    <w:rsid w:val="00B75366"/>
    <w:rsid w:val="00B756D4"/>
    <w:rsid w:val="00B77438"/>
    <w:rsid w:val="00B80187"/>
    <w:rsid w:val="00B8146F"/>
    <w:rsid w:val="00B82C79"/>
    <w:rsid w:val="00B83708"/>
    <w:rsid w:val="00B92E2A"/>
    <w:rsid w:val="00B93644"/>
    <w:rsid w:val="00B94F13"/>
    <w:rsid w:val="00B97E5E"/>
    <w:rsid w:val="00BA0F4A"/>
    <w:rsid w:val="00BA0F65"/>
    <w:rsid w:val="00BA41BE"/>
    <w:rsid w:val="00BA4DEF"/>
    <w:rsid w:val="00BB3670"/>
    <w:rsid w:val="00BB4947"/>
    <w:rsid w:val="00BB4C53"/>
    <w:rsid w:val="00BB7D0B"/>
    <w:rsid w:val="00BC4942"/>
    <w:rsid w:val="00BC68B9"/>
    <w:rsid w:val="00BC735D"/>
    <w:rsid w:val="00BD0791"/>
    <w:rsid w:val="00BD1A15"/>
    <w:rsid w:val="00BD32DF"/>
    <w:rsid w:val="00BD5724"/>
    <w:rsid w:val="00BE3DA8"/>
    <w:rsid w:val="00BE50FE"/>
    <w:rsid w:val="00BE6AA1"/>
    <w:rsid w:val="00BE77B8"/>
    <w:rsid w:val="00BF0469"/>
    <w:rsid w:val="00BF3946"/>
    <w:rsid w:val="00BF5689"/>
    <w:rsid w:val="00BF6566"/>
    <w:rsid w:val="00BF7415"/>
    <w:rsid w:val="00C00D61"/>
    <w:rsid w:val="00C05C9A"/>
    <w:rsid w:val="00C11BB6"/>
    <w:rsid w:val="00C15F2D"/>
    <w:rsid w:val="00C16C4A"/>
    <w:rsid w:val="00C22252"/>
    <w:rsid w:val="00C32BF3"/>
    <w:rsid w:val="00C3431E"/>
    <w:rsid w:val="00C36E12"/>
    <w:rsid w:val="00C37C38"/>
    <w:rsid w:val="00C40C9C"/>
    <w:rsid w:val="00C42FE2"/>
    <w:rsid w:val="00C47045"/>
    <w:rsid w:val="00C47F69"/>
    <w:rsid w:val="00C5496C"/>
    <w:rsid w:val="00C56222"/>
    <w:rsid w:val="00C61D32"/>
    <w:rsid w:val="00C622B4"/>
    <w:rsid w:val="00C63ED4"/>
    <w:rsid w:val="00C6754C"/>
    <w:rsid w:val="00C67889"/>
    <w:rsid w:val="00C73FB5"/>
    <w:rsid w:val="00C749D3"/>
    <w:rsid w:val="00C8300C"/>
    <w:rsid w:val="00C8313E"/>
    <w:rsid w:val="00C83B98"/>
    <w:rsid w:val="00C87F03"/>
    <w:rsid w:val="00C96FDB"/>
    <w:rsid w:val="00CA009D"/>
    <w:rsid w:val="00CA17F4"/>
    <w:rsid w:val="00CA39A5"/>
    <w:rsid w:val="00CA5974"/>
    <w:rsid w:val="00CA5AD2"/>
    <w:rsid w:val="00CA619A"/>
    <w:rsid w:val="00CA75BF"/>
    <w:rsid w:val="00CA7DA4"/>
    <w:rsid w:val="00CB2500"/>
    <w:rsid w:val="00CB41A9"/>
    <w:rsid w:val="00CB5A17"/>
    <w:rsid w:val="00CC411D"/>
    <w:rsid w:val="00CC4BAB"/>
    <w:rsid w:val="00CC522A"/>
    <w:rsid w:val="00CC5374"/>
    <w:rsid w:val="00CD2265"/>
    <w:rsid w:val="00CE2656"/>
    <w:rsid w:val="00CE356D"/>
    <w:rsid w:val="00CE38DC"/>
    <w:rsid w:val="00CF62EE"/>
    <w:rsid w:val="00D030A2"/>
    <w:rsid w:val="00D114B4"/>
    <w:rsid w:val="00D118F5"/>
    <w:rsid w:val="00D156A1"/>
    <w:rsid w:val="00D200B4"/>
    <w:rsid w:val="00D20952"/>
    <w:rsid w:val="00D250B7"/>
    <w:rsid w:val="00D342E2"/>
    <w:rsid w:val="00D42A97"/>
    <w:rsid w:val="00D462C1"/>
    <w:rsid w:val="00D46EED"/>
    <w:rsid w:val="00D47393"/>
    <w:rsid w:val="00D5045D"/>
    <w:rsid w:val="00D61FB6"/>
    <w:rsid w:val="00D6273B"/>
    <w:rsid w:val="00D62C20"/>
    <w:rsid w:val="00D675B3"/>
    <w:rsid w:val="00D70A05"/>
    <w:rsid w:val="00D75152"/>
    <w:rsid w:val="00D75D73"/>
    <w:rsid w:val="00D816CE"/>
    <w:rsid w:val="00D81BB4"/>
    <w:rsid w:val="00D82550"/>
    <w:rsid w:val="00D831D1"/>
    <w:rsid w:val="00D8401D"/>
    <w:rsid w:val="00D8458C"/>
    <w:rsid w:val="00D8646E"/>
    <w:rsid w:val="00D91ABD"/>
    <w:rsid w:val="00D94B95"/>
    <w:rsid w:val="00DA15F6"/>
    <w:rsid w:val="00DA7C51"/>
    <w:rsid w:val="00DB038D"/>
    <w:rsid w:val="00DB07BF"/>
    <w:rsid w:val="00DC33B7"/>
    <w:rsid w:val="00DD1EE1"/>
    <w:rsid w:val="00DD3202"/>
    <w:rsid w:val="00DD740E"/>
    <w:rsid w:val="00DE53F5"/>
    <w:rsid w:val="00DE5D92"/>
    <w:rsid w:val="00DF0799"/>
    <w:rsid w:val="00DF1F08"/>
    <w:rsid w:val="00DF39D0"/>
    <w:rsid w:val="00DF3A1A"/>
    <w:rsid w:val="00DF5A0E"/>
    <w:rsid w:val="00E0114F"/>
    <w:rsid w:val="00E07602"/>
    <w:rsid w:val="00E15363"/>
    <w:rsid w:val="00E15437"/>
    <w:rsid w:val="00E21E5B"/>
    <w:rsid w:val="00E3013D"/>
    <w:rsid w:val="00E45E90"/>
    <w:rsid w:val="00E56CF0"/>
    <w:rsid w:val="00E7071D"/>
    <w:rsid w:val="00E743E2"/>
    <w:rsid w:val="00E75646"/>
    <w:rsid w:val="00E80187"/>
    <w:rsid w:val="00E80895"/>
    <w:rsid w:val="00E81DFD"/>
    <w:rsid w:val="00E87639"/>
    <w:rsid w:val="00E900CB"/>
    <w:rsid w:val="00EA15B9"/>
    <w:rsid w:val="00EA1E61"/>
    <w:rsid w:val="00EA3EFC"/>
    <w:rsid w:val="00EA5037"/>
    <w:rsid w:val="00EB28DF"/>
    <w:rsid w:val="00EB72B4"/>
    <w:rsid w:val="00EB79F9"/>
    <w:rsid w:val="00EC102D"/>
    <w:rsid w:val="00EC2DC5"/>
    <w:rsid w:val="00EC47D1"/>
    <w:rsid w:val="00EC7197"/>
    <w:rsid w:val="00EE20B7"/>
    <w:rsid w:val="00EE24B1"/>
    <w:rsid w:val="00EE759D"/>
    <w:rsid w:val="00EF0452"/>
    <w:rsid w:val="00EF4097"/>
    <w:rsid w:val="00EF74A5"/>
    <w:rsid w:val="00F00593"/>
    <w:rsid w:val="00F03781"/>
    <w:rsid w:val="00F21AE3"/>
    <w:rsid w:val="00F24CCB"/>
    <w:rsid w:val="00F30BBD"/>
    <w:rsid w:val="00F32741"/>
    <w:rsid w:val="00F32F35"/>
    <w:rsid w:val="00F347E7"/>
    <w:rsid w:val="00F3522A"/>
    <w:rsid w:val="00F5159D"/>
    <w:rsid w:val="00F610A0"/>
    <w:rsid w:val="00F666B5"/>
    <w:rsid w:val="00F7408F"/>
    <w:rsid w:val="00F76A03"/>
    <w:rsid w:val="00F76B43"/>
    <w:rsid w:val="00F80397"/>
    <w:rsid w:val="00F8041B"/>
    <w:rsid w:val="00F85B6F"/>
    <w:rsid w:val="00F90A8D"/>
    <w:rsid w:val="00F924FF"/>
    <w:rsid w:val="00F9269D"/>
    <w:rsid w:val="00F94499"/>
    <w:rsid w:val="00F9741A"/>
    <w:rsid w:val="00FA1A57"/>
    <w:rsid w:val="00FA7E60"/>
    <w:rsid w:val="00FB10C5"/>
    <w:rsid w:val="00FB1227"/>
    <w:rsid w:val="00FB3F36"/>
    <w:rsid w:val="00FC0859"/>
    <w:rsid w:val="00FC2687"/>
    <w:rsid w:val="00FC4C65"/>
    <w:rsid w:val="00FD0DD4"/>
    <w:rsid w:val="00FD4C24"/>
    <w:rsid w:val="00FE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F2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551DD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15F2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C15F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5F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5F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5F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5F2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15F2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5F2D"/>
    <w:rPr>
      <w:sz w:val="18"/>
      <w:szCs w:val="18"/>
    </w:rPr>
  </w:style>
  <w:style w:type="character" w:customStyle="1" w:styleId="2Char">
    <w:name w:val="标题 2 Char"/>
    <w:basedOn w:val="a0"/>
    <w:link w:val="2"/>
    <w:rsid w:val="00C15F2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C15F2D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Hyperlink"/>
    <w:basedOn w:val="a0"/>
    <w:uiPriority w:val="99"/>
    <w:rsid w:val="00C15F2D"/>
    <w:rPr>
      <w:color w:val="0000FF"/>
      <w:u w:val="single"/>
    </w:rPr>
  </w:style>
  <w:style w:type="character" w:styleId="a7">
    <w:name w:val="page number"/>
    <w:basedOn w:val="a0"/>
    <w:rsid w:val="00C15F2D"/>
  </w:style>
  <w:style w:type="paragraph" w:styleId="20">
    <w:name w:val="toc 2"/>
    <w:basedOn w:val="a"/>
    <w:next w:val="a"/>
    <w:autoRedefine/>
    <w:uiPriority w:val="39"/>
    <w:rsid w:val="00A04D2F"/>
    <w:pPr>
      <w:tabs>
        <w:tab w:val="right" w:leader="dot" w:pos="8302"/>
      </w:tabs>
      <w:ind w:leftChars="200" w:left="420"/>
      <w:jc w:val="center"/>
    </w:pPr>
    <w:rPr>
      <w:sz w:val="28"/>
      <w:szCs w:val="28"/>
    </w:rPr>
  </w:style>
  <w:style w:type="paragraph" w:styleId="30">
    <w:name w:val="toc 3"/>
    <w:basedOn w:val="a"/>
    <w:next w:val="a"/>
    <w:autoRedefine/>
    <w:uiPriority w:val="39"/>
    <w:rsid w:val="00C15F2D"/>
    <w:pPr>
      <w:tabs>
        <w:tab w:val="left" w:pos="1680"/>
        <w:tab w:val="right" w:leader="dot" w:pos="8302"/>
      </w:tabs>
      <w:spacing w:line="480" w:lineRule="auto"/>
      <w:ind w:leftChars="400" w:left="840"/>
    </w:pPr>
  </w:style>
  <w:style w:type="paragraph" w:styleId="a8">
    <w:name w:val="List Paragraph"/>
    <w:basedOn w:val="a"/>
    <w:uiPriority w:val="34"/>
    <w:qFormat/>
    <w:rsid w:val="00D62C20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4F0D9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HTML">
    <w:name w:val="HTML Preformatted"/>
    <w:basedOn w:val="a"/>
    <w:link w:val="HTMLChar"/>
    <w:uiPriority w:val="99"/>
    <w:unhideWhenUsed/>
    <w:rsid w:val="00CC52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CC522A"/>
    <w:rPr>
      <w:rFonts w:ascii="宋体" w:eastAsia="宋体" w:hAnsi="宋体" w:cs="宋体"/>
      <w:kern w:val="0"/>
      <w:sz w:val="24"/>
      <w:szCs w:val="24"/>
    </w:rPr>
  </w:style>
  <w:style w:type="paragraph" w:styleId="aa">
    <w:name w:val="No Spacing"/>
    <w:link w:val="Char2"/>
    <w:uiPriority w:val="1"/>
    <w:qFormat/>
    <w:rsid w:val="00860BD0"/>
    <w:rPr>
      <w:kern w:val="0"/>
      <w:sz w:val="22"/>
    </w:rPr>
  </w:style>
  <w:style w:type="character" w:customStyle="1" w:styleId="Char2">
    <w:name w:val="无间隔 Char"/>
    <w:basedOn w:val="a0"/>
    <w:link w:val="aa"/>
    <w:uiPriority w:val="1"/>
    <w:rsid w:val="00860BD0"/>
    <w:rPr>
      <w:kern w:val="0"/>
      <w:sz w:val="22"/>
    </w:rPr>
  </w:style>
  <w:style w:type="paragraph" w:styleId="ab">
    <w:name w:val="Title"/>
    <w:basedOn w:val="a"/>
    <w:next w:val="a"/>
    <w:link w:val="Char3"/>
    <w:uiPriority w:val="10"/>
    <w:qFormat/>
    <w:rsid w:val="0002728E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b"/>
    <w:uiPriority w:val="10"/>
    <w:rsid w:val="0002728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551DD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2E360D"/>
    <w:pPr>
      <w:tabs>
        <w:tab w:val="right" w:leader="dot" w:pos="8302"/>
      </w:tabs>
    </w:pPr>
    <w:rPr>
      <w:rFonts w:asciiTheme="majorEastAsia" w:eastAsiaTheme="majorEastAsia" w:hAnsiTheme="majorEastAsia"/>
      <w:noProof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5E6F03"/>
    <w:rPr>
      <w:sz w:val="21"/>
      <w:szCs w:val="21"/>
    </w:rPr>
  </w:style>
  <w:style w:type="paragraph" w:styleId="ad">
    <w:name w:val="annotation text"/>
    <w:basedOn w:val="a"/>
    <w:link w:val="Char4"/>
    <w:uiPriority w:val="99"/>
    <w:semiHidden/>
    <w:unhideWhenUsed/>
    <w:rsid w:val="005E6F03"/>
    <w:pPr>
      <w:jc w:val="left"/>
    </w:pPr>
  </w:style>
  <w:style w:type="character" w:customStyle="1" w:styleId="Char4">
    <w:name w:val="批注文字 Char"/>
    <w:basedOn w:val="a0"/>
    <w:link w:val="ad"/>
    <w:uiPriority w:val="99"/>
    <w:semiHidden/>
    <w:rsid w:val="005E6F03"/>
    <w:rPr>
      <w:rFonts w:ascii="Times New Roman" w:eastAsia="宋体" w:hAnsi="Times New Roman" w:cs="Times New Roman"/>
      <w:szCs w:val="24"/>
    </w:rPr>
  </w:style>
  <w:style w:type="paragraph" w:styleId="ae">
    <w:name w:val="annotation subject"/>
    <w:basedOn w:val="ad"/>
    <w:next w:val="ad"/>
    <w:link w:val="Char5"/>
    <w:uiPriority w:val="99"/>
    <w:semiHidden/>
    <w:unhideWhenUsed/>
    <w:rsid w:val="005E6F03"/>
    <w:rPr>
      <w:b/>
      <w:bCs/>
    </w:rPr>
  </w:style>
  <w:style w:type="character" w:customStyle="1" w:styleId="Char5">
    <w:name w:val="批注主题 Char"/>
    <w:basedOn w:val="Char4"/>
    <w:link w:val="ae"/>
    <w:uiPriority w:val="99"/>
    <w:semiHidden/>
    <w:rsid w:val="005E6F03"/>
    <w:rPr>
      <w:b/>
      <w:bCs/>
    </w:rPr>
  </w:style>
  <w:style w:type="paragraph" w:styleId="af">
    <w:name w:val="Revision"/>
    <w:hidden/>
    <w:uiPriority w:val="99"/>
    <w:semiHidden/>
    <w:rsid w:val="005E6F03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03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7032">
                  <w:marLeft w:val="0"/>
                  <w:marRight w:val="0"/>
                  <w:marTop w:val="0"/>
                  <w:marBottom w:val="0"/>
                  <w:divBdr>
                    <w:top w:val="single" w:sz="6" w:space="0" w:color="C7EBBB"/>
                    <w:left w:val="single" w:sz="6" w:space="0" w:color="C7EBBB"/>
                    <w:bottom w:val="single" w:sz="6" w:space="0" w:color="C7EBBB"/>
                    <w:right w:val="single" w:sz="6" w:space="0" w:color="C7EBBB"/>
                  </w:divBdr>
                  <w:divsChild>
                    <w:div w:id="171797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8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117" Type="http://schemas.openxmlformats.org/officeDocument/2006/relationships/chart" Target="charts/chart75.xml"/><Relationship Id="rId21" Type="http://schemas.openxmlformats.org/officeDocument/2006/relationships/chart" Target="charts/chart7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63" Type="http://schemas.openxmlformats.org/officeDocument/2006/relationships/chart" Target="charts/chart48.xml"/><Relationship Id="rId68" Type="http://schemas.openxmlformats.org/officeDocument/2006/relationships/chart" Target="charts/chart52.xml"/><Relationship Id="rId84" Type="http://schemas.openxmlformats.org/officeDocument/2006/relationships/chart" Target="charts/chart67.xml"/><Relationship Id="rId89" Type="http://schemas.openxmlformats.org/officeDocument/2006/relationships/chart" Target="charts/chart72.xml"/><Relationship Id="rId112" Type="http://schemas.openxmlformats.org/officeDocument/2006/relationships/image" Target="media/image24.png"/><Relationship Id="rId133" Type="http://schemas.openxmlformats.org/officeDocument/2006/relationships/chart" Target="charts/chart90.xml"/><Relationship Id="rId138" Type="http://schemas.openxmlformats.org/officeDocument/2006/relationships/image" Target="media/image28.png"/><Relationship Id="rId154" Type="http://schemas.openxmlformats.org/officeDocument/2006/relationships/image" Target="media/image44.png"/><Relationship Id="rId159" Type="http://schemas.openxmlformats.org/officeDocument/2006/relationships/fontTable" Target="fontTable.xml"/><Relationship Id="rId16" Type="http://schemas.openxmlformats.org/officeDocument/2006/relationships/chart" Target="charts/chart2.xml"/><Relationship Id="rId107" Type="http://schemas.openxmlformats.org/officeDocument/2006/relationships/image" Target="media/image19.png"/><Relationship Id="rId11" Type="http://schemas.openxmlformats.org/officeDocument/2006/relationships/footer" Target="footer2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53" Type="http://schemas.openxmlformats.org/officeDocument/2006/relationships/chart" Target="charts/chart39.xml"/><Relationship Id="rId58" Type="http://schemas.openxmlformats.org/officeDocument/2006/relationships/chart" Target="charts/chart44.xml"/><Relationship Id="rId74" Type="http://schemas.openxmlformats.org/officeDocument/2006/relationships/chart" Target="charts/chart58.xml"/><Relationship Id="rId79" Type="http://schemas.openxmlformats.org/officeDocument/2006/relationships/chart" Target="charts/chart62.xml"/><Relationship Id="rId102" Type="http://schemas.openxmlformats.org/officeDocument/2006/relationships/image" Target="media/image14.png"/><Relationship Id="rId123" Type="http://schemas.openxmlformats.org/officeDocument/2006/relationships/chart" Target="charts/chart81.xml"/><Relationship Id="rId128" Type="http://schemas.openxmlformats.org/officeDocument/2006/relationships/chart" Target="charts/chart85.xml"/><Relationship Id="rId144" Type="http://schemas.openxmlformats.org/officeDocument/2006/relationships/image" Target="media/image34.png"/><Relationship Id="rId149" Type="http://schemas.openxmlformats.org/officeDocument/2006/relationships/image" Target="media/image39.png"/><Relationship Id="rId5" Type="http://schemas.openxmlformats.org/officeDocument/2006/relationships/webSettings" Target="webSettings.xml"/><Relationship Id="rId90" Type="http://schemas.openxmlformats.org/officeDocument/2006/relationships/image" Target="media/image2.png"/><Relationship Id="rId95" Type="http://schemas.openxmlformats.org/officeDocument/2006/relationships/image" Target="media/image7.png"/><Relationship Id="rId160" Type="http://schemas.openxmlformats.org/officeDocument/2006/relationships/theme" Target="theme/theme1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64" Type="http://schemas.openxmlformats.org/officeDocument/2006/relationships/chart" Target="charts/chart49.xml"/><Relationship Id="rId69" Type="http://schemas.openxmlformats.org/officeDocument/2006/relationships/chart" Target="charts/chart53.xml"/><Relationship Id="rId113" Type="http://schemas.openxmlformats.org/officeDocument/2006/relationships/image" Target="media/image25.png"/><Relationship Id="rId118" Type="http://schemas.openxmlformats.org/officeDocument/2006/relationships/chart" Target="charts/chart76.xml"/><Relationship Id="rId134" Type="http://schemas.openxmlformats.org/officeDocument/2006/relationships/chart" Target="charts/chart91.xml"/><Relationship Id="rId139" Type="http://schemas.openxmlformats.org/officeDocument/2006/relationships/image" Target="media/image29.png"/><Relationship Id="rId80" Type="http://schemas.openxmlformats.org/officeDocument/2006/relationships/chart" Target="charts/chart63.xml"/><Relationship Id="rId85" Type="http://schemas.openxmlformats.org/officeDocument/2006/relationships/chart" Target="charts/chart68.xml"/><Relationship Id="rId150" Type="http://schemas.openxmlformats.org/officeDocument/2006/relationships/image" Target="media/image40.png"/><Relationship Id="rId155" Type="http://schemas.openxmlformats.org/officeDocument/2006/relationships/image" Target="media/image45.png"/><Relationship Id="rId12" Type="http://schemas.openxmlformats.org/officeDocument/2006/relationships/header" Target="header3.xml"/><Relationship Id="rId17" Type="http://schemas.openxmlformats.org/officeDocument/2006/relationships/chart" Target="charts/chart3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59" Type="http://schemas.openxmlformats.org/officeDocument/2006/relationships/chart" Target="charts/chart45.xml"/><Relationship Id="rId103" Type="http://schemas.openxmlformats.org/officeDocument/2006/relationships/image" Target="media/image15.png"/><Relationship Id="rId108" Type="http://schemas.openxmlformats.org/officeDocument/2006/relationships/image" Target="media/image20.png"/><Relationship Id="rId124" Type="http://schemas.openxmlformats.org/officeDocument/2006/relationships/chart" Target="charts/chart82.xml"/><Relationship Id="rId129" Type="http://schemas.openxmlformats.org/officeDocument/2006/relationships/chart" Target="charts/chart86.xml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54" Type="http://schemas.openxmlformats.org/officeDocument/2006/relationships/chart" Target="charts/chart40.xml"/><Relationship Id="rId62" Type="http://schemas.openxmlformats.org/officeDocument/2006/relationships/chart" Target="charts/chart47.xml"/><Relationship Id="rId70" Type="http://schemas.openxmlformats.org/officeDocument/2006/relationships/chart" Target="charts/chart54.xml"/><Relationship Id="rId75" Type="http://schemas.openxmlformats.org/officeDocument/2006/relationships/chart" Target="charts/chart59.xml"/><Relationship Id="rId83" Type="http://schemas.openxmlformats.org/officeDocument/2006/relationships/chart" Target="charts/chart66.xml"/><Relationship Id="rId88" Type="http://schemas.openxmlformats.org/officeDocument/2006/relationships/chart" Target="charts/chart71.xml"/><Relationship Id="rId91" Type="http://schemas.openxmlformats.org/officeDocument/2006/relationships/image" Target="media/image3.png"/><Relationship Id="rId96" Type="http://schemas.openxmlformats.org/officeDocument/2006/relationships/image" Target="media/image8.png"/><Relationship Id="rId111" Type="http://schemas.openxmlformats.org/officeDocument/2006/relationships/image" Target="media/image23.png"/><Relationship Id="rId132" Type="http://schemas.openxmlformats.org/officeDocument/2006/relationships/chart" Target="charts/chart89.xml"/><Relationship Id="rId140" Type="http://schemas.openxmlformats.org/officeDocument/2006/relationships/image" Target="media/image30.png"/><Relationship Id="rId145" Type="http://schemas.openxmlformats.org/officeDocument/2006/relationships/image" Target="media/image35.png"/><Relationship Id="rId153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chart" Target="charts/chart35.xml"/><Relationship Id="rId57" Type="http://schemas.openxmlformats.org/officeDocument/2006/relationships/chart" Target="charts/chart43.xml"/><Relationship Id="rId106" Type="http://schemas.openxmlformats.org/officeDocument/2006/relationships/image" Target="media/image18.png"/><Relationship Id="rId114" Type="http://schemas.openxmlformats.org/officeDocument/2006/relationships/image" Target="media/image26.png"/><Relationship Id="rId119" Type="http://schemas.openxmlformats.org/officeDocument/2006/relationships/chart" Target="charts/chart77.xml"/><Relationship Id="rId127" Type="http://schemas.openxmlformats.org/officeDocument/2006/relationships/chart" Target="charts/chart84.xml"/><Relationship Id="rId10" Type="http://schemas.openxmlformats.org/officeDocument/2006/relationships/footer" Target="footer1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52" Type="http://schemas.openxmlformats.org/officeDocument/2006/relationships/chart" Target="charts/chart38.xml"/><Relationship Id="rId60" Type="http://schemas.openxmlformats.org/officeDocument/2006/relationships/comments" Target="comments.xml"/><Relationship Id="rId65" Type="http://schemas.openxmlformats.org/officeDocument/2006/relationships/footer" Target="footer4.xml"/><Relationship Id="rId73" Type="http://schemas.openxmlformats.org/officeDocument/2006/relationships/chart" Target="charts/chart57.xml"/><Relationship Id="rId78" Type="http://schemas.openxmlformats.org/officeDocument/2006/relationships/chart" Target="charts/chart61.xml"/><Relationship Id="rId81" Type="http://schemas.openxmlformats.org/officeDocument/2006/relationships/chart" Target="charts/chart64.xml"/><Relationship Id="rId86" Type="http://schemas.openxmlformats.org/officeDocument/2006/relationships/chart" Target="charts/chart69.xml"/><Relationship Id="rId94" Type="http://schemas.openxmlformats.org/officeDocument/2006/relationships/image" Target="media/image6.png"/><Relationship Id="rId99" Type="http://schemas.openxmlformats.org/officeDocument/2006/relationships/image" Target="media/image11.png"/><Relationship Id="rId101" Type="http://schemas.openxmlformats.org/officeDocument/2006/relationships/image" Target="media/image13.png"/><Relationship Id="rId122" Type="http://schemas.openxmlformats.org/officeDocument/2006/relationships/chart" Target="charts/chart80.xml"/><Relationship Id="rId130" Type="http://schemas.openxmlformats.org/officeDocument/2006/relationships/chart" Target="charts/chart87.xml"/><Relationship Id="rId135" Type="http://schemas.openxmlformats.org/officeDocument/2006/relationships/chart" Target="charts/chart92.xml"/><Relationship Id="rId143" Type="http://schemas.openxmlformats.org/officeDocument/2006/relationships/image" Target="media/image33.png"/><Relationship Id="rId148" Type="http://schemas.openxmlformats.org/officeDocument/2006/relationships/image" Target="media/image38.png"/><Relationship Id="rId151" Type="http://schemas.openxmlformats.org/officeDocument/2006/relationships/image" Target="media/image41.png"/><Relationship Id="rId156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chart" Target="charts/chart4.xml"/><Relationship Id="rId39" Type="http://schemas.openxmlformats.org/officeDocument/2006/relationships/chart" Target="charts/chart25.xml"/><Relationship Id="rId109" Type="http://schemas.openxmlformats.org/officeDocument/2006/relationships/image" Target="media/image21.png"/><Relationship Id="rId34" Type="http://schemas.openxmlformats.org/officeDocument/2006/relationships/chart" Target="charts/chart20.xml"/><Relationship Id="rId50" Type="http://schemas.openxmlformats.org/officeDocument/2006/relationships/chart" Target="charts/chart36.xml"/><Relationship Id="rId55" Type="http://schemas.openxmlformats.org/officeDocument/2006/relationships/chart" Target="charts/chart41.xml"/><Relationship Id="rId76" Type="http://schemas.openxmlformats.org/officeDocument/2006/relationships/chart" Target="charts/chart60.xml"/><Relationship Id="rId97" Type="http://schemas.openxmlformats.org/officeDocument/2006/relationships/image" Target="media/image9.png"/><Relationship Id="rId104" Type="http://schemas.openxmlformats.org/officeDocument/2006/relationships/image" Target="media/image16.png"/><Relationship Id="rId120" Type="http://schemas.openxmlformats.org/officeDocument/2006/relationships/chart" Target="charts/chart78.xml"/><Relationship Id="rId125" Type="http://schemas.openxmlformats.org/officeDocument/2006/relationships/image" Target="media/image27.png"/><Relationship Id="rId141" Type="http://schemas.openxmlformats.org/officeDocument/2006/relationships/image" Target="media/image31.png"/><Relationship Id="rId146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chart" Target="charts/chart55.xml"/><Relationship Id="rId92" Type="http://schemas.openxmlformats.org/officeDocument/2006/relationships/image" Target="media/image4.png"/><Relationship Id="rId2" Type="http://schemas.openxmlformats.org/officeDocument/2006/relationships/numbering" Target="numbering.xml"/><Relationship Id="rId29" Type="http://schemas.openxmlformats.org/officeDocument/2006/relationships/chart" Target="charts/chart15.xml"/><Relationship Id="rId24" Type="http://schemas.openxmlformats.org/officeDocument/2006/relationships/chart" Target="charts/chart10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66" Type="http://schemas.openxmlformats.org/officeDocument/2006/relationships/chart" Target="charts/chart50.xml"/><Relationship Id="rId87" Type="http://schemas.openxmlformats.org/officeDocument/2006/relationships/chart" Target="charts/chart70.xml"/><Relationship Id="rId110" Type="http://schemas.openxmlformats.org/officeDocument/2006/relationships/image" Target="media/image22.png"/><Relationship Id="rId115" Type="http://schemas.openxmlformats.org/officeDocument/2006/relationships/chart" Target="charts/chart73.xml"/><Relationship Id="rId131" Type="http://schemas.openxmlformats.org/officeDocument/2006/relationships/chart" Target="charts/chart88.xml"/><Relationship Id="rId136" Type="http://schemas.openxmlformats.org/officeDocument/2006/relationships/chart" Target="charts/chart93.xml"/><Relationship Id="rId157" Type="http://schemas.openxmlformats.org/officeDocument/2006/relationships/image" Target="media/image47.png"/><Relationship Id="rId61" Type="http://schemas.openxmlformats.org/officeDocument/2006/relationships/chart" Target="charts/chart46.xml"/><Relationship Id="rId82" Type="http://schemas.openxmlformats.org/officeDocument/2006/relationships/chart" Target="charts/chart65.xml"/><Relationship Id="rId152" Type="http://schemas.openxmlformats.org/officeDocument/2006/relationships/image" Target="media/image42.png"/><Relationship Id="rId19" Type="http://schemas.openxmlformats.org/officeDocument/2006/relationships/chart" Target="charts/chart5.xml"/><Relationship Id="rId14" Type="http://schemas.openxmlformats.org/officeDocument/2006/relationships/header" Target="header4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56" Type="http://schemas.openxmlformats.org/officeDocument/2006/relationships/chart" Target="charts/chart42.xml"/><Relationship Id="rId77" Type="http://schemas.openxmlformats.org/officeDocument/2006/relationships/image" Target="media/image1.png"/><Relationship Id="rId100" Type="http://schemas.openxmlformats.org/officeDocument/2006/relationships/image" Target="media/image12.png"/><Relationship Id="rId105" Type="http://schemas.openxmlformats.org/officeDocument/2006/relationships/image" Target="media/image17.png"/><Relationship Id="rId126" Type="http://schemas.openxmlformats.org/officeDocument/2006/relationships/chart" Target="charts/chart83.xml"/><Relationship Id="rId147" Type="http://schemas.openxmlformats.org/officeDocument/2006/relationships/image" Target="media/image37.png"/><Relationship Id="rId8" Type="http://schemas.openxmlformats.org/officeDocument/2006/relationships/header" Target="header1.xml"/><Relationship Id="rId51" Type="http://schemas.openxmlformats.org/officeDocument/2006/relationships/chart" Target="charts/chart37.xml"/><Relationship Id="rId72" Type="http://schemas.openxmlformats.org/officeDocument/2006/relationships/chart" Target="charts/chart56.xml"/><Relationship Id="rId93" Type="http://schemas.openxmlformats.org/officeDocument/2006/relationships/image" Target="media/image5.png"/><Relationship Id="rId98" Type="http://schemas.openxmlformats.org/officeDocument/2006/relationships/image" Target="media/image10.png"/><Relationship Id="rId121" Type="http://schemas.openxmlformats.org/officeDocument/2006/relationships/chart" Target="charts/chart79.xml"/><Relationship Id="rId142" Type="http://schemas.openxmlformats.org/officeDocument/2006/relationships/image" Target="media/image32.png"/><Relationship Id="rId3" Type="http://schemas.openxmlformats.org/officeDocument/2006/relationships/styles" Target="styles.xml"/><Relationship Id="rId25" Type="http://schemas.openxmlformats.org/officeDocument/2006/relationships/chart" Target="charts/chart11.xml"/><Relationship Id="rId46" Type="http://schemas.openxmlformats.org/officeDocument/2006/relationships/chart" Target="charts/chart32.xml"/><Relationship Id="rId67" Type="http://schemas.openxmlformats.org/officeDocument/2006/relationships/chart" Target="charts/chart51.xml"/><Relationship Id="rId116" Type="http://schemas.openxmlformats.org/officeDocument/2006/relationships/chart" Target="charts/chart74.xml"/><Relationship Id="rId137" Type="http://schemas.openxmlformats.org/officeDocument/2006/relationships/chart" Target="charts/chart94.xml"/><Relationship Id="rId158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027;&#35201;&#25351;&#26631;&#20998;&#26512;&#34920;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027;&#35201;&#25351;&#26631;&#20998;&#26512;&#34920;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12&#24180;&#33267;2015&#24180;&#20027;&#35201;&#25351;&#26631;&#20998;&#26512;&#34920;2016.4.25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&#36235;&#21183;&#20998;&#26512;&#25351;&#26631;.xls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&#65288;&#38582;&#23646;&#65289;.xls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2007_Workbook1.xlsx"/><Relationship Id="rId1" Type="http://schemas.openxmlformats.org/officeDocument/2006/relationships/themeOverride" Target="../theme/themeOverride1.xm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12&#24180;&#33267;2015&#24180;&#20027;&#35201;&#25351;&#26631;&#20998;&#26512;&#34920;2016.4.25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54;&#21592;&#20998;&#26512;(&#38598;&#22242;&#65289;.xls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1512;&#21516;&#24773;&#20917;&#20998;&#26512;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9987;&#22996;&#20250;&#24037;&#20316;&#25991;&#20214;2012&#23626;\2016&#24180;&#32479;&#35745;&#19987;&#22996;&#20250;&#24037;&#20316;\&#32479;&#35745;&#20998;&#26512;&#25253;&#21578;\2012&#24180;&#33267;2015&#24180;&#20027;&#35201;&#25351;&#26631;&#20998;&#26512;&#34920;2016.4.25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36816;&#33829;&#31574;&#21010;&#37096;\&#20854;&#23427;\&#32479;&#35745;&#19987;&#22996;&#20250;&#24037;&#20316;\2015&#24180;&#36164;&#26009;\2015&#24180;&#20135;&#20540;&#24773;&#2091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>
                <a:solidFill>
                  <a:srgbClr val="FF0000"/>
                </a:solidFill>
              </a:defRPr>
            </a:pPr>
            <a:r>
              <a:rPr lang="en-US" altLang="zh-CN"/>
              <a:t>2012</a:t>
            </a:r>
            <a:r>
              <a:rPr lang="zh-CN" altLang="en-US"/>
              <a:t>年以来行业期末职工总人数发展趋势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企业规模指标!$I$2</c:f>
              <c:strCache>
                <c:ptCount val="1"/>
                <c:pt idx="0">
                  <c:v>行业企业期末职工总数（人）</c:v>
                </c:pt>
              </c:strCache>
            </c:strRef>
          </c:tx>
          <c:spPr>
            <a:ln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a:ln>
          </c:spPr>
          <c:dLbls>
            <c:dLbl>
              <c:idx val="0"/>
              <c:layout>
                <c:manualLayout>
                  <c:x val="-4.065040650406504E-2"/>
                  <c:y val="-8.4745762711867081E-2"/>
                </c:manualLayout>
              </c:layout>
              <c:showVal val="1"/>
            </c:dLbl>
            <c:dLbl>
              <c:idx val="1"/>
              <c:layout>
                <c:manualLayout>
                  <c:x val="-4.7425474254743985E-2"/>
                  <c:y val="-8.4745762711867012E-2"/>
                </c:manualLayout>
              </c:layout>
              <c:showVal val="1"/>
            </c:dLbl>
            <c:dLbl>
              <c:idx val="2"/>
              <c:layout>
                <c:manualLayout>
                  <c:x val="-4.2908762420957466E-2"/>
                  <c:y val="-6.5913370998117338E-2"/>
                </c:manualLayout>
              </c:layout>
              <c:showVal val="1"/>
            </c:dLbl>
            <c:dLbl>
              <c:idx val="3"/>
              <c:layout>
                <c:manualLayout>
                  <c:x val="-4.7425474254743985E-2"/>
                  <c:y val="-5.6497175141243215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FF00FF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企业规模指标!$J$1:$M$1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企业规模指标!$J$2:$M$2</c:f>
              <c:numCache>
                <c:formatCode>0_);[Red]\(0\)</c:formatCode>
                <c:ptCount val="4"/>
                <c:pt idx="0">
                  <c:v>30056</c:v>
                </c:pt>
                <c:pt idx="1">
                  <c:v>31676</c:v>
                </c:pt>
                <c:pt idx="2">
                  <c:v>33128</c:v>
                </c:pt>
                <c:pt idx="3">
                  <c:v>33509</c:v>
                </c:pt>
              </c:numCache>
            </c:numRef>
          </c:val>
        </c:ser>
        <c:marker val="1"/>
        <c:axId val="285831936"/>
        <c:axId val="285833472"/>
      </c:lineChart>
      <c:catAx>
        <c:axId val="285831936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5833472"/>
        <c:crosses val="autoZero"/>
        <c:auto val="1"/>
        <c:lblAlgn val="ctr"/>
        <c:lblOffset val="100"/>
      </c:catAx>
      <c:valAx>
        <c:axId val="285833472"/>
        <c:scaling>
          <c:orientation val="minMax"/>
        </c:scaling>
        <c:axPos val="l"/>
        <c:majorGridlines/>
        <c:numFmt formatCode="0_);[Red]\(0\)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5831936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400">
                <a:solidFill>
                  <a:srgbClr val="FF0000"/>
                </a:solidFill>
              </a:defRPr>
            </a:pPr>
            <a:r>
              <a:rPr lang="en-US" altLang="zh-CN" sz="1400">
                <a:solidFill>
                  <a:srgbClr val="FF0000"/>
                </a:solidFill>
              </a:rPr>
              <a:t>2012</a:t>
            </a:r>
            <a:r>
              <a:rPr lang="zh-CN" altLang="en-US" sz="1400">
                <a:solidFill>
                  <a:srgbClr val="FF0000"/>
                </a:solidFill>
              </a:rPr>
              <a:t>年以来行业境外新签合同额走势图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30198899062957241"/>
          <c:y val="0.19647304470327789"/>
          <c:w val="0.69801100937043503"/>
          <c:h val="0.44994717114034882"/>
        </c:manualLayout>
      </c:layout>
      <c:lineChart>
        <c:grouping val="standard"/>
        <c:ser>
          <c:idx val="0"/>
          <c:order val="0"/>
          <c:tx>
            <c:strRef>
              <c:f>合同额!$A$48</c:f>
              <c:strCache>
                <c:ptCount val="1"/>
                <c:pt idx="0">
                  <c:v>境外合同额（亿元）</c:v>
                </c:pt>
              </c:strCache>
            </c:strRef>
          </c:tx>
          <c:dLbls>
            <c:dLbl>
              <c:idx val="0"/>
              <c:layout>
                <c:manualLayout>
                  <c:x val="-3.9592760180995473E-2"/>
                  <c:y val="-6.0185185185185147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9019607843138829E-2"/>
                  <c:y val="-5.555555555555545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1478129713423816E-2"/>
                  <c:y val="-3.703703703703705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5.090497737556561E-2"/>
                  <c:y val="-5.555555555555545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合同额!$B$47:$E$47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合同额!$B$48:$E$48</c:f>
              <c:numCache>
                <c:formatCode>General</c:formatCode>
                <c:ptCount val="4"/>
                <c:pt idx="0">
                  <c:v>87.63</c:v>
                </c:pt>
                <c:pt idx="1">
                  <c:v>202.72</c:v>
                </c:pt>
                <c:pt idx="2">
                  <c:v>258.02999999999969</c:v>
                </c:pt>
                <c:pt idx="3">
                  <c:v>280.12</c:v>
                </c:pt>
              </c:numCache>
            </c:numRef>
          </c:val>
        </c:ser>
        <c:ser>
          <c:idx val="1"/>
          <c:order val="1"/>
          <c:tx>
            <c:strRef>
              <c:f>合同额!$A$49</c:f>
              <c:strCache>
                <c:ptCount val="1"/>
                <c:pt idx="0">
                  <c:v>境外总承包合同额（亿元）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 altLang="en-US"/>
                      <a:t>62.70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2.8280542986425718E-2"/>
                  <c:y val="6.018518518518514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2051282051282055E-2"/>
                  <c:y val="5.555555555555545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5248868778279182E-2"/>
                  <c:y val="6.0185185185185147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合同额!$B$47:$E$47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合同额!$B$49:$E$49</c:f>
              <c:numCache>
                <c:formatCode>General</c:formatCode>
                <c:ptCount val="4"/>
                <c:pt idx="0">
                  <c:v>62.7</c:v>
                </c:pt>
                <c:pt idx="1">
                  <c:v>179.60999999999999</c:v>
                </c:pt>
                <c:pt idx="2">
                  <c:v>241.48000000000027</c:v>
                </c:pt>
                <c:pt idx="3">
                  <c:v>265.25</c:v>
                </c:pt>
              </c:numCache>
            </c:numRef>
          </c:val>
        </c:ser>
        <c:ser>
          <c:idx val="2"/>
          <c:order val="2"/>
          <c:tx>
            <c:strRef>
              <c:f>合同额!$A$50</c:f>
              <c:strCache>
                <c:ptCount val="1"/>
                <c:pt idx="0">
                  <c:v>境外勘测设计咨询合同额(亿元）</c:v>
                </c:pt>
              </c:strCache>
            </c:strRef>
          </c:tx>
          <c:dLbls>
            <c:dLbl>
              <c:idx val="0"/>
              <c:layout>
                <c:manualLayout>
                  <c:x val="-6.9758672699849172E-2"/>
                  <c:y val="0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1478129713423816E-2"/>
                  <c:y val="-4.62962962962965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9019607843138829E-2"/>
                  <c:y val="-5.555555555555545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1478129713423816E-2"/>
                  <c:y val="-4.166666666666666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B05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合同额!$B$47:$E$47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合同额!$B$50:$E$50</c:f>
              <c:numCache>
                <c:formatCode>General</c:formatCode>
                <c:ptCount val="4"/>
                <c:pt idx="0">
                  <c:v>24.93</c:v>
                </c:pt>
                <c:pt idx="1">
                  <c:v>23.110000000000031</c:v>
                </c:pt>
                <c:pt idx="2">
                  <c:v>16.55</c:v>
                </c:pt>
                <c:pt idx="3">
                  <c:v>14.870000000000006</c:v>
                </c:pt>
              </c:numCache>
            </c:numRef>
          </c:val>
        </c:ser>
        <c:dLbls>
          <c:showVal val="1"/>
        </c:dLbls>
        <c:marker val="1"/>
        <c:axId val="286234496"/>
        <c:axId val="286236032"/>
      </c:lineChart>
      <c:catAx>
        <c:axId val="286234496"/>
        <c:scaling>
          <c:orientation val="minMax"/>
        </c:scaling>
        <c:axPos val="b"/>
        <c:numFmt formatCode="General" sourceLinked="1"/>
        <c:tickLblPos val="nextTo"/>
        <c:crossAx val="286236032"/>
        <c:crosses val="autoZero"/>
        <c:auto val="1"/>
        <c:lblAlgn val="ctr"/>
        <c:lblOffset val="100"/>
      </c:catAx>
      <c:valAx>
        <c:axId val="2862360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 b="1">
                <a:solidFill>
                  <a:srgbClr val="00B050"/>
                </a:solidFill>
              </a:defRPr>
            </a:pPr>
            <a:endParaRPr lang="zh-CN"/>
          </a:p>
        </c:txPr>
        <c:crossAx val="286234496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 sz="900"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年以来行业境内外新签合同额构成情况示图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5.5555555555555558E-3"/>
                  <c:y val="3.7037037037037056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境外新签合同额</a:t>
                    </a:r>
                    <a:r>
                      <a:rPr lang="en-US" altLang="zh-CN" sz="900" b="1"/>
                      <a:t> 828.5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19.91%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6.8621894053126934E-3"/>
                  <c:y val="-0.52177205342407951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境内新签合同额</a:t>
                    </a:r>
                    <a:r>
                      <a:rPr lang="en-US" altLang="zh-CN" sz="900" b="1"/>
                      <a:t> 3332.37 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80.09%</a:t>
                    </a:r>
                  </a:p>
                </c:rich>
              </c:tx>
              <c:dLblPos val="bestFit"/>
              <c:showLegendKey val="1"/>
            </c:dLbl>
            <c:numFmt formatCode="0.00_ 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合同额!$V$3:$W$3</c:f>
              <c:strCache>
                <c:ptCount val="2"/>
                <c:pt idx="0">
                  <c:v>境外新签合同额</c:v>
                </c:pt>
                <c:pt idx="1">
                  <c:v>境内新签合同额</c:v>
                </c:pt>
              </c:strCache>
            </c:strRef>
          </c:cat>
          <c:val>
            <c:numRef>
              <c:f>合同额!$V$4:$W$4</c:f>
              <c:numCache>
                <c:formatCode>0.00_);[Red]\(0.00\)</c:formatCode>
                <c:ptCount val="2"/>
                <c:pt idx="0" formatCode="General">
                  <c:v>828.5</c:v>
                </c:pt>
                <c:pt idx="1">
                  <c:v>3332.3700000000022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年以来行业境外新签合同业务构成情况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3055626111254258E-2"/>
          <c:y val="0.34664333624963545"/>
          <c:w val="0.82777777777777772"/>
          <c:h val="0.6511577719451776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1228322266168474"/>
                  <c:y val="-0.4444444444444444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境外总承包合同额</a:t>
                    </a:r>
                    <a:r>
                      <a:rPr lang="en-US" altLang="zh-CN" sz="900" b="1"/>
                      <a:t> 749.04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90.41%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0.12069886425487136"/>
                  <c:y val="0.10185185185185186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境外勘测设计咨询合同额</a:t>
                    </a:r>
                    <a:r>
                      <a:rPr lang="en-US" altLang="zh-CN" sz="900" b="1"/>
                      <a:t>79.46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9.59%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合同额!$C$88:$D$88</c:f>
              <c:strCache>
                <c:ptCount val="2"/>
                <c:pt idx="0">
                  <c:v>境外总承包合同额（亿元）</c:v>
                </c:pt>
                <c:pt idx="1">
                  <c:v>境外勘测设计咨询合同额（亿元）</c:v>
                </c:pt>
              </c:strCache>
            </c:strRef>
          </c:cat>
          <c:val>
            <c:numRef>
              <c:f>合同额!$C$89:$D$89</c:f>
              <c:numCache>
                <c:formatCode>General</c:formatCode>
                <c:ptCount val="2"/>
                <c:pt idx="0">
                  <c:v>749.04</c:v>
                </c:pt>
                <c:pt idx="1">
                  <c:v>79.459999999999994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年以来行业境外总承包合同中各企业集团构成情况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1111111111111144"/>
          <c:y val="0.18055555555555555"/>
          <c:w val="0.64726531058618875"/>
          <c:h val="0.81944444444444464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15"/>
          </c:dPt>
          <c:dPt>
            <c:idx val="2"/>
            <c:explosion val="12"/>
          </c:dPt>
          <c:dPt>
            <c:idx val="3"/>
            <c:explosion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305.02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40.72%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layout>
                <c:manualLayout>
                  <c:x val="-0.10833333333333336"/>
                  <c:y val="-2.777777777777849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209.83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28.01%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158.94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21.22%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layout>
                <c:manualLayout>
                  <c:x val="-3.9824771007566711E-3"/>
                  <c:y val="3.657262277951985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75.25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10.05%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合同额!$K$88:$N$88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合同额!$K$89:$N$89</c:f>
              <c:numCache>
                <c:formatCode>General</c:formatCode>
                <c:ptCount val="4"/>
                <c:pt idx="0">
                  <c:v>305.02</c:v>
                </c:pt>
                <c:pt idx="1">
                  <c:v>209.83</c:v>
                </c:pt>
                <c:pt idx="2">
                  <c:v>158.94</c:v>
                </c:pt>
                <c:pt idx="3">
                  <c:v>75.25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年以来行业境外勘测设计咨询合同中各企业集团构成情况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26492108632558731"/>
          <c:y val="0.25"/>
          <c:w val="0.58171802405295403"/>
          <c:h val="0.73148148148148162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4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54.89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69.08%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layout>
                <c:manualLayout>
                  <c:x val="0"/>
                  <c:y val="0.11574074074074177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9.9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12.46%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layout>
                <c:manualLayout>
                  <c:x val="-0.05"/>
                  <c:y val="9.2592592592594721E-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6.22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7.83%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layout>
                <c:manualLayout>
                  <c:x val="-2.7777777777778598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8.45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10.63%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合同额!$J$111:$M$111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合同额!$J$112:$M$112</c:f>
              <c:numCache>
                <c:formatCode>General</c:formatCode>
                <c:ptCount val="4"/>
                <c:pt idx="0">
                  <c:v>54.89</c:v>
                </c:pt>
                <c:pt idx="1">
                  <c:v>9.9</c:v>
                </c:pt>
                <c:pt idx="2">
                  <c:v>6.22</c:v>
                </c:pt>
                <c:pt idx="3">
                  <c:v>8.4500000000000028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年以来行业总产值中各企业集团构成情况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0277777777777693E-2"/>
          <c:y val="0.22021835812190332"/>
          <c:w val="0.81388888888889355"/>
          <c:h val="0.67347550306212245"/>
        </c:manualLayout>
      </c:layout>
      <c:pie3DChart>
        <c:varyColors val="1"/>
        <c:ser>
          <c:idx val="0"/>
          <c:order val="0"/>
          <c:tx>
            <c:strRef>
              <c:f>完成产值!$K$4</c:f>
              <c:strCache>
                <c:ptCount val="1"/>
                <c:pt idx="0">
                  <c:v>完成总产值</c:v>
                </c:pt>
              </c:strCache>
            </c:strRef>
          </c:tx>
          <c:explosion val="25"/>
          <c:dPt>
            <c:idx val="0"/>
            <c:explosion val="0"/>
          </c:dPt>
          <c:dLbls>
            <c:dLbl>
              <c:idx val="0"/>
              <c:layout>
                <c:manualLayout>
                  <c:x val="-6.666666666666668E-2"/>
                  <c:y val="-4.6296296296296523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 </a:t>
                    </a:r>
                    <a:r>
                      <a:rPr lang="en-US" altLang="zh-CN" sz="900" b="1"/>
                      <a:t>322.01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32.15%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0.13333333333333341"/>
                  <c:y val="-4.6296296296296523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 </a:t>
                    </a:r>
                    <a:r>
                      <a:rPr lang="en-US" altLang="zh-CN" sz="900" b="1"/>
                      <a:t>284.8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28.44%</a:t>
                    </a:r>
                  </a:p>
                </c:rich>
              </c:tx>
              <c:dLblPos val="bestFit"/>
              <c:showLegendKey val="1"/>
            </c:dLbl>
            <c:dLbl>
              <c:idx val="2"/>
              <c:layout>
                <c:manualLayout>
                  <c:x val="0"/>
                  <c:y val="3.7037037037037056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 </a:t>
                    </a:r>
                    <a:r>
                      <a:rPr lang="en-US" altLang="zh-CN" sz="900" b="1"/>
                      <a:t>136.22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13.60%</a:t>
                    </a:r>
                  </a:p>
                </c:rich>
              </c:tx>
              <c:dLblPos val="bestFit"/>
              <c:showLegendKey val="1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 </a:t>
                    </a:r>
                    <a:r>
                      <a:rPr lang="en-US" altLang="zh-CN" sz="900" b="1"/>
                      <a:t>258.54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25.81%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eparator>; </c:separator>
          </c:dLbls>
          <c:cat>
            <c:multiLvlStrRef>
              <c:f>完成产值!$L$2:$O$3</c:f>
              <c:multiLvlStrCache>
                <c:ptCount val="4"/>
                <c:lvl>
                  <c:pt idx="0">
                    <c:v>322.01</c:v>
                  </c:pt>
                  <c:pt idx="1">
                    <c:v>284.8</c:v>
                  </c:pt>
                  <c:pt idx="2">
                    <c:v>136.22</c:v>
                  </c:pt>
                  <c:pt idx="3">
                    <c:v>258.54</c:v>
                  </c:pt>
                </c:lvl>
                <c:lvl>
                  <c:pt idx="0">
                    <c:v>中电工程</c:v>
                  </c:pt>
                  <c:pt idx="1">
                    <c:v>中国能建集团</c:v>
                  </c:pt>
                  <c:pt idx="2">
                    <c:v>中国电建集团</c:v>
                  </c:pt>
                  <c:pt idx="3">
                    <c:v>其他企业</c:v>
                  </c:pt>
                </c:lvl>
              </c:multiLvlStrCache>
            </c:multiLvlStrRef>
          </c:cat>
          <c:val>
            <c:numRef>
              <c:f>完成产值!$L$4:$O$4</c:f>
              <c:numCache>
                <c:formatCode>0.00%</c:formatCode>
                <c:ptCount val="4"/>
                <c:pt idx="0">
                  <c:v>0.32148918751622646</c:v>
                </c:pt>
                <c:pt idx="1">
                  <c:v>0.28440000000000032</c:v>
                </c:pt>
                <c:pt idx="2">
                  <c:v>0.13600000000000001</c:v>
                </c:pt>
                <c:pt idx="3">
                  <c:v>0.2581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400">
                <a:solidFill>
                  <a:srgbClr val="FF0000"/>
                </a:solidFill>
              </a:defRPr>
            </a:pPr>
            <a:r>
              <a:rPr lang="en-US" altLang="zh-CN" sz="1400">
                <a:solidFill>
                  <a:srgbClr val="FF0000"/>
                </a:solidFill>
              </a:rPr>
              <a:t>2012</a:t>
            </a:r>
            <a:r>
              <a:rPr lang="zh-CN" altLang="en-US" sz="1400">
                <a:solidFill>
                  <a:srgbClr val="FF0000"/>
                </a:solidFill>
              </a:rPr>
              <a:t>年以来行业营业收入走势图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20595361716857039"/>
          <c:y val="0.20140055409740687"/>
          <c:w val="0.79404638283142959"/>
          <c:h val="0.44395924467774861"/>
        </c:manualLayout>
      </c:layout>
      <c:lineChart>
        <c:grouping val="standard"/>
        <c:ser>
          <c:idx val="0"/>
          <c:order val="0"/>
          <c:tx>
            <c:strRef>
              <c:f>营业收入!$O$3</c:f>
              <c:strCache>
                <c:ptCount val="1"/>
                <c:pt idx="0">
                  <c:v>行业营业总收入(亿元）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营业收入!$P$2:$S$2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营业收入!$P$3:$S$3</c:f>
              <c:numCache>
                <c:formatCode>General</c:formatCode>
                <c:ptCount val="4"/>
                <c:pt idx="0">
                  <c:v>437.98999999999899</c:v>
                </c:pt>
                <c:pt idx="1">
                  <c:v>527.15</c:v>
                </c:pt>
                <c:pt idx="2">
                  <c:v>629.44999999999948</c:v>
                </c:pt>
                <c:pt idx="3">
                  <c:v>719.03</c:v>
                </c:pt>
              </c:numCache>
            </c:numRef>
          </c:val>
        </c:ser>
        <c:ser>
          <c:idx val="1"/>
          <c:order val="1"/>
          <c:tx>
            <c:strRef>
              <c:f>营业收入!$O$4</c:f>
              <c:strCache>
                <c:ptCount val="1"/>
                <c:pt idx="0">
                  <c:v>行业总承包收入（亿元）</c:v>
                </c:pt>
              </c:strCache>
            </c:strRef>
          </c:tx>
          <c:dLbls>
            <c:dLbl>
              <c:idx val="0"/>
              <c:layout>
                <c:manualLayout>
                  <c:x val="-3.4614053305642087E-3"/>
                  <c:y val="2.7777777777778571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3.9806161301488403E-2"/>
                  <c:y val="-5.09259259259259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2883350640360617E-2"/>
                  <c:y val="-5.09259259259259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344755970924202E-2"/>
                  <c:y val="-5.555555555555545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营业收入!$P$2:$S$2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营业收入!$P$4:$S$4</c:f>
              <c:numCache>
                <c:formatCode>General</c:formatCode>
                <c:ptCount val="4"/>
                <c:pt idx="0">
                  <c:v>223.27999999999992</c:v>
                </c:pt>
                <c:pt idx="1">
                  <c:v>305.83</c:v>
                </c:pt>
                <c:pt idx="2">
                  <c:v>410.17</c:v>
                </c:pt>
                <c:pt idx="3">
                  <c:v>495.66</c:v>
                </c:pt>
              </c:numCache>
            </c:numRef>
          </c:val>
        </c:ser>
        <c:ser>
          <c:idx val="2"/>
          <c:order val="2"/>
          <c:tx>
            <c:strRef>
              <c:f>营业收入!$O$5</c:f>
              <c:strCache>
                <c:ptCount val="1"/>
                <c:pt idx="0">
                  <c:v>行业勘测设计咨询收入（亿元）</c:v>
                </c:pt>
              </c:strCache>
            </c:strRef>
          </c:tx>
          <c:dLbls>
            <c:dLbl>
              <c:idx val="0"/>
              <c:layout>
                <c:manualLayout>
                  <c:x val="-2.9421945309795812E-2"/>
                  <c:y val="5.555555555555545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344755970924202E-2"/>
                  <c:y val="5.09259259259259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6344755970924202E-2"/>
                  <c:y val="4.62962962962965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0105641000482408E-2"/>
                  <c:y val="5.555555555555545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99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营业收入!$P$2:$S$2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营业收入!$P$5:$S$5</c:f>
              <c:numCache>
                <c:formatCode>General</c:formatCode>
                <c:ptCount val="4"/>
                <c:pt idx="0">
                  <c:v>214.70999999999998</c:v>
                </c:pt>
                <c:pt idx="1">
                  <c:v>221.32000000000087</c:v>
                </c:pt>
                <c:pt idx="2">
                  <c:v>219.28000000000003</c:v>
                </c:pt>
                <c:pt idx="3">
                  <c:v>223.37</c:v>
                </c:pt>
              </c:numCache>
            </c:numRef>
          </c:val>
        </c:ser>
        <c:dLbls>
          <c:showVal val="1"/>
        </c:dLbls>
        <c:marker val="1"/>
        <c:axId val="286604288"/>
        <c:axId val="286626560"/>
      </c:lineChart>
      <c:catAx>
        <c:axId val="286604288"/>
        <c:scaling>
          <c:orientation val="minMax"/>
        </c:scaling>
        <c:axPos val="b"/>
        <c:numFmt formatCode="General" sourceLinked="1"/>
        <c:tickLblPos val="nextTo"/>
        <c:crossAx val="286626560"/>
        <c:crosses val="autoZero"/>
        <c:auto val="1"/>
        <c:lblAlgn val="ctr"/>
        <c:lblOffset val="100"/>
      </c:catAx>
      <c:valAx>
        <c:axId val="286626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660428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年以来行业各业务板块营业收入构成情况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dPt>
            <c:idx val="0"/>
            <c:explosion val="25"/>
          </c:dPt>
          <c:dLbls>
            <c:dLbl>
              <c:idx val="0"/>
              <c:layout>
                <c:manualLayout>
                  <c:x val="-3.5065926493701591E-2"/>
                  <c:y val="-9.0177569446048045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b="1"/>
                      <a:t>勘测设计咨询收入</a:t>
                    </a:r>
                    <a:r>
                      <a:rPr lang="en-US" altLang="zh-CN" b="1"/>
                      <a:t> 878.68</a:t>
                    </a:r>
                    <a:r>
                      <a:rPr lang="zh-CN" altLang="en-US" b="1"/>
                      <a:t>亿元</a:t>
                    </a:r>
                    <a:r>
                      <a:rPr lang="en-US" altLang="zh-CN" b="1"/>
                      <a:t>;</a:t>
                    </a:r>
                    <a:r>
                      <a:rPr lang="zh-CN" altLang="en-US" b="1"/>
                      <a:t>占</a:t>
                    </a:r>
                    <a:r>
                      <a:rPr lang="en-US" altLang="zh-CN" b="1"/>
                      <a:t>37.98%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7.4950949819392477E-3"/>
                  <c:y val="-0.29169925779145156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b="1"/>
                      <a:t>总承包收入</a:t>
                    </a:r>
                    <a:r>
                      <a:rPr lang="en-US" altLang="zh-CN" b="1"/>
                      <a:t>1434.94</a:t>
                    </a:r>
                    <a:r>
                      <a:rPr lang="zh-CN" altLang="en-US" b="1"/>
                      <a:t>亿元</a:t>
                    </a:r>
                    <a:r>
                      <a:rPr lang="en-US" altLang="zh-CN" b="1"/>
                      <a:t>; </a:t>
                    </a:r>
                    <a:r>
                      <a:rPr lang="zh-CN" altLang="en-US" b="1"/>
                      <a:t>占</a:t>
                    </a:r>
                    <a:r>
                      <a:rPr lang="en-US" altLang="zh-CN" b="1"/>
                      <a:t>62.02%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  <c:showLeaderLines val="1"/>
          </c:dLbls>
          <c:cat>
            <c:strRef>
              <c:f>营业收入!$AD$2:$AE$2</c:f>
              <c:strCache>
                <c:ptCount val="2"/>
                <c:pt idx="0">
                  <c:v>勘测设计咨询收入（亿元）</c:v>
                </c:pt>
                <c:pt idx="1">
                  <c:v>总承包收入（亿元）</c:v>
                </c:pt>
              </c:strCache>
            </c:strRef>
          </c:cat>
          <c:val>
            <c:numRef>
              <c:f>营业收入!$AD$3:$AE$3</c:f>
              <c:numCache>
                <c:formatCode>General</c:formatCode>
                <c:ptCount val="2"/>
                <c:pt idx="0">
                  <c:v>878.67999999999984</c:v>
                </c:pt>
                <c:pt idx="1">
                  <c:v>1434.94</c:v>
                </c:pt>
              </c:numCache>
            </c:numRef>
          </c:val>
        </c:ser>
        <c:ser>
          <c:idx val="1"/>
          <c:order val="1"/>
          <c:dLbls>
            <c:dLblPos val="outEnd"/>
            <c:showVal val="1"/>
            <c:showLeaderLines val="1"/>
          </c:dLbls>
          <c:cat>
            <c:strRef>
              <c:f>营业收入!$AD$2:$AE$2</c:f>
              <c:strCache>
                <c:ptCount val="2"/>
                <c:pt idx="0">
                  <c:v>勘测设计咨询收入（亿元）</c:v>
                </c:pt>
                <c:pt idx="1">
                  <c:v>总承包收入（亿元）</c:v>
                </c:pt>
              </c:strCache>
            </c:strRef>
          </c:cat>
          <c:val>
            <c:numRef>
              <c:f>营业收入!$AD$4:$AE$4</c:f>
              <c:numCache>
                <c:formatCode>0.00%</c:formatCode>
                <c:ptCount val="2"/>
                <c:pt idx="0">
                  <c:v>0.37978579023349146</c:v>
                </c:pt>
                <c:pt idx="1">
                  <c:v>0.62021420976651309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年以来行业营业收入总额中各企业集团构成情况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6309523809523739E-2"/>
          <c:y val="0.24743209001988944"/>
          <c:w val="0.8226190476190568"/>
          <c:h val="0.62396534343241694"/>
        </c:manualLayout>
      </c:layout>
      <c:pie3DChart>
        <c:varyColors val="1"/>
        <c:ser>
          <c:idx val="0"/>
          <c:order val="0"/>
          <c:tx>
            <c:strRef>
              <c:f>营业收入!$O$21</c:f>
              <c:strCache>
                <c:ptCount val="1"/>
                <c:pt idx="0">
                  <c:v>营业收入(亿元）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中电工程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750.08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; 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32.42%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中国能建集团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628.53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;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 27.17%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中国电建集团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 333.34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; 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14.41%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其他企业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 601.67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; </a:t>
                    </a:r>
                    <a:r>
                      <a:rPr lang="zh-CN" altLang="en-US" sz="900" b="1">
                        <a:solidFill>
                          <a:schemeClr val="tx1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chemeClr val="tx1"/>
                        </a:solidFill>
                      </a:rPr>
                      <a:t>26.01%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</a:defRPr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  <c:showLeaderLines val="1"/>
          </c:dLbls>
          <c:cat>
            <c:strRef>
              <c:f>营业收入!$P$20:$S$20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营业收入!$P$21:$S$21</c:f>
              <c:numCache>
                <c:formatCode>General</c:formatCode>
                <c:ptCount val="4"/>
                <c:pt idx="0">
                  <c:v>750.07999999999993</c:v>
                </c:pt>
                <c:pt idx="1">
                  <c:v>628.53</c:v>
                </c:pt>
                <c:pt idx="2">
                  <c:v>333.34000000000032</c:v>
                </c:pt>
                <c:pt idx="3">
                  <c:v>601.67000000000053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>
                <a:solidFill>
                  <a:srgbClr val="FF0000"/>
                </a:solidFill>
              </a:defRPr>
            </a:pPr>
            <a:r>
              <a:rPr lang="en-US" altLang="zh-CN" sz="1200" b="1">
                <a:solidFill>
                  <a:srgbClr val="FF0000"/>
                </a:solidFill>
              </a:rPr>
              <a:t>2012</a:t>
            </a:r>
            <a:r>
              <a:rPr lang="zh-CN" altLang="en-US" sz="1200" b="1">
                <a:solidFill>
                  <a:srgbClr val="FF0000"/>
                </a:solidFill>
              </a:rPr>
              <a:t>年以来行业总承包营业收入中各企业集团构成情况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营业收入!$O$34</c:f>
              <c:strCache>
                <c:ptCount val="1"/>
                <c:pt idx="0">
                  <c:v>总承包收入(亿元）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6111111111110819E-2"/>
                  <c:y val="-4.016064257028109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 497.84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34.69%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layout>
                <c:manualLayout>
                  <c:x val="0.14166666666666666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386.99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26.97%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205.21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14.30%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 344.9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24.04%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营业收入!$P$33:$S$33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营业收入!$P$34:$S$34</c:f>
              <c:numCache>
                <c:formatCode>General</c:formatCode>
                <c:ptCount val="4"/>
                <c:pt idx="0">
                  <c:v>497.84000000000032</c:v>
                </c:pt>
                <c:pt idx="1">
                  <c:v>386.98999999999899</c:v>
                </c:pt>
                <c:pt idx="2">
                  <c:v>205.20999999999998</c:v>
                </c:pt>
                <c:pt idx="3">
                  <c:v>344.9</c:v>
                </c:pt>
              </c:numCache>
            </c:numRef>
          </c:val>
        </c:ser>
        <c:ser>
          <c:idx val="1"/>
          <c:order val="1"/>
          <c:tx>
            <c:strRef>
              <c:f>营业收入!$O$35</c:f>
              <c:strCache>
                <c:ptCount val="1"/>
              </c:strCache>
            </c:strRef>
          </c:tx>
          <c:explosion val="25"/>
          <c:dLbls>
            <c:dLblPos val="outEnd"/>
            <c:showVal val="1"/>
          </c:dLbls>
          <c:cat>
            <c:strRef>
              <c:f>营业收入!$P$33:$S$33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营业收入!$P$35:$S$35</c:f>
              <c:numCache>
                <c:formatCode>0.00%</c:formatCode>
                <c:ptCount val="4"/>
                <c:pt idx="0">
                  <c:v>0.34694133552622403</c:v>
                </c:pt>
                <c:pt idx="1">
                  <c:v>0.26969071877569795</c:v>
                </c:pt>
                <c:pt idx="2">
                  <c:v>0.14300946381033669</c:v>
                </c:pt>
                <c:pt idx="3">
                  <c:v>0.24035848188774792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年以来行业各企业集团职工人数发展趋势</a:t>
            </a:r>
          </a:p>
        </c:rich>
      </c:tx>
      <c:layout>
        <c:manualLayout>
          <c:xMode val="edge"/>
          <c:yMode val="edge"/>
          <c:x val="0.28201183431952681"/>
          <c:y val="1.9700551615445566E-2"/>
        </c:manualLayout>
      </c:layout>
    </c:title>
    <c:plotArea>
      <c:layout>
        <c:manualLayout>
          <c:layoutTarget val="inner"/>
          <c:xMode val="edge"/>
          <c:yMode val="edge"/>
          <c:x val="0.18384615384615574"/>
          <c:y val="0.11723038166328568"/>
          <c:w val="0.84018574601251772"/>
          <c:h val="0.44581262448576908"/>
        </c:manualLayout>
      </c:layout>
      <c:lineChart>
        <c:grouping val="standard"/>
        <c:ser>
          <c:idx val="0"/>
          <c:order val="0"/>
          <c:tx>
            <c:strRef>
              <c:f>企业规模指标!$I$17</c:f>
              <c:strCache>
                <c:ptCount val="1"/>
                <c:pt idx="0">
                  <c:v>中电工程</c:v>
                </c:pt>
              </c:strCache>
            </c:strRef>
          </c:tx>
          <c:dLbls>
            <c:dLbl>
              <c:idx val="0"/>
              <c:layout>
                <c:manualLayout>
                  <c:x val="-2.9585798816568046E-2"/>
                  <c:y val="5.277917387986072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5502958579881658E-2"/>
                  <c:y val="4.095884291059361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7475345167653502E-2"/>
                  <c:y val="4.489895323368291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9.8619329388561581E-3"/>
                  <c:y val="4.430328301160999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>
                    <a:solidFill>
                      <a:srgbClr val="0070C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企业规模指标!$J$16:$M$16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企业规模指标!$J$17:$M$17</c:f>
              <c:numCache>
                <c:formatCode>0_);[Red]\(0\)</c:formatCode>
                <c:ptCount val="4"/>
                <c:pt idx="0">
                  <c:v>7960</c:v>
                </c:pt>
                <c:pt idx="1">
                  <c:v>7993</c:v>
                </c:pt>
                <c:pt idx="2">
                  <c:v>8296</c:v>
                </c:pt>
                <c:pt idx="3">
                  <c:v>8358</c:v>
                </c:pt>
              </c:numCache>
            </c:numRef>
          </c:val>
        </c:ser>
        <c:ser>
          <c:idx val="1"/>
          <c:order val="1"/>
          <c:tx>
            <c:strRef>
              <c:f>企业规模指标!$I$18</c:f>
              <c:strCache>
                <c:ptCount val="1"/>
                <c:pt idx="0">
                  <c:v>中国能建集团</c:v>
                </c:pt>
              </c:strCache>
            </c:strRef>
          </c:tx>
          <c:dLbls>
            <c:dLbl>
              <c:idx val="0"/>
              <c:layout>
                <c:manualLayout>
                  <c:x val="-6.1143984220907312E-2"/>
                  <c:y val="-8.9797285977551208E-3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6.1143984220907312E-2"/>
                  <c:y val="-1.763897420623840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6.9033685878023526E-2"/>
                  <c:y val="-2.2999385715083739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1.972386587771234E-3"/>
                  <c:y val="-7.8802206461780922E-3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>
                    <a:solidFill>
                      <a:srgbClr val="C0000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企业规模指标!$J$16:$M$16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企业规模指标!$J$18:$M$18</c:f>
              <c:numCache>
                <c:formatCode>0_);[Red]\(0\)</c:formatCode>
                <c:ptCount val="4"/>
                <c:pt idx="0">
                  <c:v>8200</c:v>
                </c:pt>
                <c:pt idx="1">
                  <c:v>8643</c:v>
                </c:pt>
                <c:pt idx="2">
                  <c:v>9139</c:v>
                </c:pt>
                <c:pt idx="3">
                  <c:v>9224</c:v>
                </c:pt>
              </c:numCache>
            </c:numRef>
          </c:val>
        </c:ser>
        <c:ser>
          <c:idx val="2"/>
          <c:order val="2"/>
          <c:tx>
            <c:strRef>
              <c:f>企业规模指标!$I$19</c:f>
              <c:strCache>
                <c:ptCount val="1"/>
                <c:pt idx="0">
                  <c:v>中国电建集团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pPr>
              <a:solidFill>
                <a:srgbClr val="FF00FF"/>
              </a:solidFill>
            </c:spPr>
          </c:marker>
          <c:dLbls>
            <c:dLbl>
              <c:idx val="0"/>
              <c:layout>
                <c:manualLayout>
                  <c:x val="-3.5502958579881658E-2"/>
                  <c:y val="4.457815999950361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3530571992110444E-2"/>
                  <c:y val="4.851827032259271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5502958579881658E-2"/>
                  <c:y val="4.9938571508349024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5502958579881658E-2"/>
                  <c:y val="4.7876683854235547E-2"/>
                </c:manualLayout>
              </c:layout>
              <c:dLblPos val="r"/>
              <c:showVal val="1"/>
            </c:dLbl>
            <c:spPr>
              <a:noFill/>
              <a:ln>
                <a:noFill/>
              </a:ln>
            </c:spPr>
            <c:txPr>
              <a:bodyPr/>
              <a:lstStyle/>
              <a:p>
                <a:pPr>
                  <a:defRPr>
                    <a:solidFill>
                      <a:srgbClr val="FF00FF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企业规模指标!$J$16:$M$16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企业规模指标!$J$19:$M$19</c:f>
              <c:numCache>
                <c:formatCode>0_);[Red]\(0\)</c:formatCode>
                <c:ptCount val="4"/>
                <c:pt idx="0">
                  <c:v>4386</c:v>
                </c:pt>
                <c:pt idx="1">
                  <c:v>4605</c:v>
                </c:pt>
                <c:pt idx="2">
                  <c:v>4926</c:v>
                </c:pt>
                <c:pt idx="3">
                  <c:v>5350</c:v>
                </c:pt>
              </c:numCache>
            </c:numRef>
          </c:val>
        </c:ser>
        <c:ser>
          <c:idx val="3"/>
          <c:order val="3"/>
          <c:tx>
            <c:strRef>
              <c:f>企业规模指标!$I$20</c:f>
              <c:strCache>
                <c:ptCount val="1"/>
                <c:pt idx="0">
                  <c:v>其他企业</c:v>
                </c:pt>
              </c:strCache>
            </c:strRef>
          </c:tx>
          <c:spPr>
            <a:ln>
              <a:solidFill>
                <a:srgbClr val="00CC00"/>
              </a:solidFill>
            </a:ln>
          </c:spPr>
          <c:dLbls>
            <c:dLbl>
              <c:idx val="0"/>
              <c:layout>
                <c:manualLayout>
                  <c:x val="-3.5502958579881658E-2"/>
                  <c:y val="-3.81182405390815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r"/>
              <c:showVal val="1"/>
            </c:dLbl>
            <c:dLbl>
              <c:idx val="1"/>
              <c:layout>
                <c:manualLayout>
                  <c:x val="-4.7337278106509013E-2"/>
                  <c:y val="-2.629790956981484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r"/>
              <c:showVal val="1"/>
            </c:dLbl>
            <c:dLbl>
              <c:idx val="2"/>
              <c:layout>
                <c:manualLayout>
                  <c:x val="-1.9723865877712295E-2"/>
                  <c:y val="-2.519840161823738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r"/>
              <c:showVal val="1"/>
            </c:dLbl>
            <c:dLbl>
              <c:idx val="3"/>
              <c:layout>
                <c:manualLayout>
                  <c:x val="-3.5502958579881658E-2"/>
                  <c:y val="-4.095884291059361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zh-CN"/>
                </a:p>
              </c:txPr>
              <c:dLblPos val="r"/>
              <c:showVal val="1"/>
            </c:dLbl>
            <c:showVal val="1"/>
          </c:dLbls>
          <c:cat>
            <c:strRef>
              <c:f>企业规模指标!$J$16:$M$16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企业规模指标!$J$20:$M$20</c:f>
              <c:numCache>
                <c:formatCode>0_);[Red]\(0\)</c:formatCode>
                <c:ptCount val="4"/>
                <c:pt idx="0">
                  <c:v>9510</c:v>
                </c:pt>
                <c:pt idx="1">
                  <c:v>10435</c:v>
                </c:pt>
                <c:pt idx="2">
                  <c:v>10767</c:v>
                </c:pt>
                <c:pt idx="3">
                  <c:v>10577</c:v>
                </c:pt>
              </c:numCache>
            </c:numRef>
          </c:val>
        </c:ser>
        <c:marker val="1"/>
        <c:axId val="285895680"/>
        <c:axId val="285913856"/>
      </c:lineChart>
      <c:catAx>
        <c:axId val="285895680"/>
        <c:scaling>
          <c:orientation val="minMax"/>
        </c:scaling>
        <c:axPos val="b"/>
        <c:numFmt formatCode="General" sourceLinked="1"/>
        <c:tickLblPos val="nextTo"/>
        <c:crossAx val="285913856"/>
        <c:crosses val="autoZero"/>
        <c:auto val="1"/>
        <c:lblAlgn val="ctr"/>
        <c:lblOffset val="100"/>
      </c:catAx>
      <c:valAx>
        <c:axId val="285913856"/>
        <c:scaling>
          <c:orientation val="minMax"/>
        </c:scaling>
        <c:axPos val="l"/>
        <c:majorGridlines/>
        <c:numFmt formatCode="0_);[Red]\(0\)" sourceLinked="1"/>
        <c:tickLblPos val="nextTo"/>
        <c:crossAx val="2858956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 sz="900" b="1">
          <a:solidFill>
            <a:srgbClr val="00B050"/>
          </a:solidFill>
        </a:defRPr>
      </a:pPr>
      <a:endParaRPr lang="zh-CN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年以来行业勘测设计咨询收入中各企业集团构成情况</a:t>
            </a:r>
            <a:endParaRPr lang="en-US" altLang="zh-CN" sz="1200">
              <a:solidFill>
                <a:srgbClr val="FF0000"/>
              </a:solidFill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4988565025863267E-2"/>
          <c:y val="0.24743962373830791"/>
          <c:w val="0.82735013873753049"/>
          <c:h val="0.63154714721062555"/>
        </c:manualLayout>
      </c:layout>
      <c:pie3DChart>
        <c:varyColors val="1"/>
        <c:ser>
          <c:idx val="0"/>
          <c:order val="0"/>
          <c:tx>
            <c:strRef>
              <c:f>营业收入!$O$48</c:f>
              <c:strCache>
                <c:ptCount val="1"/>
                <c:pt idx="0">
                  <c:v>878.68</c:v>
                </c:pt>
              </c:strCache>
            </c:strRef>
          </c:tx>
          <c:explosion val="1"/>
          <c:dPt>
            <c:idx val="1"/>
            <c:explosion val="22"/>
          </c:dPt>
          <c:dPt>
            <c:idx val="2"/>
            <c:explosion val="31"/>
          </c:dPt>
          <c:dPt>
            <c:idx val="3"/>
            <c:explosion val="14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/>
                      <a:t>中电工程</a:t>
                    </a:r>
                    <a:r>
                      <a:rPr lang="en-US" altLang="zh-CN"/>
                      <a:t>252.24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 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28.71%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/>
                      <a:t>中国能建集团</a:t>
                    </a:r>
                    <a:r>
                      <a:rPr lang="en-US" altLang="zh-CN"/>
                      <a:t>241.54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 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27.49%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/>
                      <a:t>中国电建集团</a:t>
                    </a:r>
                    <a:r>
                      <a:rPr lang="en-US" altLang="zh-CN"/>
                      <a:t>128.13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 14.58%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/>
                      <a:t>其他企业</a:t>
                    </a:r>
                    <a:r>
                      <a:rPr lang="en-US" altLang="zh-CN"/>
                      <a:t>; 256.77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 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29.22%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营业收入!$P$47:$S$47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营业收入!$P$48:$S$48</c:f>
              <c:numCache>
                <c:formatCode>General</c:formatCode>
                <c:ptCount val="4"/>
                <c:pt idx="0">
                  <c:v>252.23999999999998</c:v>
                </c:pt>
                <c:pt idx="1">
                  <c:v>241.54</c:v>
                </c:pt>
                <c:pt idx="2">
                  <c:v>128.13</c:v>
                </c:pt>
                <c:pt idx="3">
                  <c:v>256.77</c:v>
                </c:pt>
              </c:numCache>
            </c:numRef>
          </c:val>
        </c:ser>
        <c:ser>
          <c:idx val="1"/>
          <c:order val="1"/>
          <c:tx>
            <c:strRef>
              <c:f>营业收入!$O$49</c:f>
              <c:strCache>
                <c:ptCount val="1"/>
              </c:strCache>
            </c:strRef>
          </c:tx>
          <c:dLbls>
            <c:dLblPos val="outEnd"/>
            <c:showVal val="1"/>
          </c:dLbls>
          <c:cat>
            <c:strRef>
              <c:f>营业收入!$P$47:$S$47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营业收入!$P$49:$S$49</c:f>
              <c:numCache>
                <c:formatCode>0.00%</c:formatCode>
                <c:ptCount val="4"/>
                <c:pt idx="0">
                  <c:v>0.28706696408249388</c:v>
                </c:pt>
                <c:pt idx="1">
                  <c:v>0.27488960713798616</c:v>
                </c:pt>
                <c:pt idx="2">
                  <c:v>0.14582100423362318</c:v>
                </c:pt>
                <c:pt idx="3">
                  <c:v>0.2922224245459098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年以来行业各企业集团人均营业收入发展情况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1529051987767586E-2"/>
          <c:y val="0.11630198869372008"/>
          <c:w val="0.92847094801222618"/>
          <c:h val="0.47463469109630535"/>
        </c:manualLayout>
      </c:layout>
      <c:bar3DChart>
        <c:barDir val="col"/>
        <c:grouping val="clustered"/>
        <c:ser>
          <c:idx val="0"/>
          <c:order val="0"/>
          <c:tx>
            <c:strRef>
              <c:f>营业收入!$Q$86</c:f>
              <c:strCache>
                <c:ptCount val="1"/>
                <c:pt idx="0">
                  <c:v>2012年</c:v>
                </c:pt>
              </c:strCache>
            </c:strRef>
          </c:tx>
          <c:dLbls>
            <c:dLbl>
              <c:idx val="0"/>
              <c:layout>
                <c:manualLayout>
                  <c:x val="-1.3761467889908383E-2"/>
                  <c:y val="4.0064102564102465E-3"/>
                </c:manualLayout>
              </c:layout>
              <c:showVal val="1"/>
            </c:dLbl>
            <c:dLbl>
              <c:idx val="1"/>
              <c:layout>
                <c:manualLayout>
                  <c:x val="-1.0703363914373088E-2"/>
                  <c:y val="1.201923076923077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营业收入!$P$87:$P$91</c:f>
              <c:strCache>
                <c:ptCount val="5"/>
                <c:pt idx="0">
                  <c:v>行业人均营业收入（万元）</c:v>
                </c:pt>
                <c:pt idx="1">
                  <c:v>中电工程</c:v>
                </c:pt>
                <c:pt idx="2">
                  <c:v>中国能建集团</c:v>
                </c:pt>
                <c:pt idx="3">
                  <c:v>中国电建集团</c:v>
                </c:pt>
                <c:pt idx="4">
                  <c:v>其他企业</c:v>
                </c:pt>
              </c:strCache>
            </c:strRef>
          </c:cat>
          <c:val>
            <c:numRef>
              <c:f>营业收入!$Q$87:$Q$91</c:f>
              <c:numCache>
                <c:formatCode>0.00_);[Red]\(0.00\)</c:formatCode>
                <c:ptCount val="5"/>
                <c:pt idx="0">
                  <c:v>124.61999999999999</c:v>
                </c:pt>
                <c:pt idx="1">
                  <c:v>176.64</c:v>
                </c:pt>
                <c:pt idx="2">
                  <c:v>118.99000000000002</c:v>
                </c:pt>
                <c:pt idx="3">
                  <c:v>89.75</c:v>
                </c:pt>
                <c:pt idx="4">
                  <c:v>107.86</c:v>
                </c:pt>
              </c:numCache>
            </c:numRef>
          </c:val>
        </c:ser>
        <c:ser>
          <c:idx val="1"/>
          <c:order val="1"/>
          <c:tx>
            <c:strRef>
              <c:f>营业收入!$R$86</c:f>
              <c:strCache>
                <c:ptCount val="1"/>
                <c:pt idx="0">
                  <c:v>2013年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营业收入!$P$87:$P$91</c:f>
              <c:strCache>
                <c:ptCount val="5"/>
                <c:pt idx="0">
                  <c:v>行业人均营业收入（万元）</c:v>
                </c:pt>
                <c:pt idx="1">
                  <c:v>中电工程</c:v>
                </c:pt>
                <c:pt idx="2">
                  <c:v>中国能建集团</c:v>
                </c:pt>
                <c:pt idx="3">
                  <c:v>中国电建集团</c:v>
                </c:pt>
                <c:pt idx="4">
                  <c:v>其他企业</c:v>
                </c:pt>
              </c:strCache>
            </c:strRef>
          </c:cat>
          <c:val>
            <c:numRef>
              <c:f>营业收入!$R$87:$R$91</c:f>
              <c:numCache>
                <c:formatCode>0.00_);[Red]\(0.00\)</c:formatCode>
                <c:ptCount val="5"/>
                <c:pt idx="0">
                  <c:v>146</c:v>
                </c:pt>
                <c:pt idx="1">
                  <c:v>192.3</c:v>
                </c:pt>
                <c:pt idx="2">
                  <c:v>139.69999999999999</c:v>
                </c:pt>
                <c:pt idx="3">
                  <c:v>103.64999999999999</c:v>
                </c:pt>
                <c:pt idx="4">
                  <c:v>139.22</c:v>
                </c:pt>
              </c:numCache>
            </c:numRef>
          </c:val>
        </c:ser>
        <c:ser>
          <c:idx val="2"/>
          <c:order val="2"/>
          <c:tx>
            <c:strRef>
              <c:f>营业收入!$S$86</c:f>
              <c:strCache>
                <c:ptCount val="1"/>
                <c:pt idx="0">
                  <c:v>2014年</c:v>
                </c:pt>
              </c:strCache>
            </c:strRef>
          </c:tx>
          <c:dLbls>
            <c:dLbl>
              <c:idx val="4"/>
              <c:layout>
                <c:manualLayout>
                  <c:x val="1.3761467889908278E-2"/>
                  <c:y val="-2.403846153846154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营业收入!$P$87:$P$91</c:f>
              <c:strCache>
                <c:ptCount val="5"/>
                <c:pt idx="0">
                  <c:v>行业人均营业收入（万元）</c:v>
                </c:pt>
                <c:pt idx="1">
                  <c:v>中电工程</c:v>
                </c:pt>
                <c:pt idx="2">
                  <c:v>中国能建集团</c:v>
                </c:pt>
                <c:pt idx="3">
                  <c:v>中国电建集团</c:v>
                </c:pt>
                <c:pt idx="4">
                  <c:v>其他企业</c:v>
                </c:pt>
              </c:strCache>
            </c:strRef>
          </c:cat>
          <c:val>
            <c:numRef>
              <c:f>营业收入!$S$87:$S$91</c:f>
              <c:numCache>
                <c:formatCode>0.00_);[Red]\(0.00\)</c:formatCode>
                <c:ptCount val="5"/>
                <c:pt idx="0">
                  <c:v>171.07</c:v>
                </c:pt>
                <c:pt idx="1">
                  <c:v>227.81</c:v>
                </c:pt>
                <c:pt idx="2">
                  <c:v>166.04</c:v>
                </c:pt>
                <c:pt idx="3">
                  <c:v>141.68</c:v>
                </c:pt>
                <c:pt idx="4">
                  <c:v>146.4</c:v>
                </c:pt>
              </c:numCache>
            </c:numRef>
          </c:val>
        </c:ser>
        <c:ser>
          <c:idx val="3"/>
          <c:order val="3"/>
          <c:tx>
            <c:strRef>
              <c:f>营业收入!$T$86</c:f>
              <c:strCache>
                <c:ptCount val="1"/>
                <c:pt idx="0">
                  <c:v>2015年</c:v>
                </c:pt>
              </c:strCache>
            </c:strRef>
          </c:tx>
          <c:dLbls>
            <c:dLbl>
              <c:idx val="0"/>
              <c:layout>
                <c:manualLayout>
                  <c:x val="2.1888198608201612E-2"/>
                  <c:y val="-1.201923076923077E-2"/>
                </c:manualLayout>
              </c:layout>
              <c:showVal val="1"/>
            </c:dLbl>
            <c:dLbl>
              <c:idx val="1"/>
              <c:layout>
                <c:manualLayout>
                  <c:x val="2.3068096992463087E-2"/>
                  <c:y val="-4.0064102564102465E-3"/>
                </c:manualLayout>
              </c:layout>
              <c:showVal val="1"/>
            </c:dLbl>
            <c:dLbl>
              <c:idx val="2"/>
              <c:layout>
                <c:manualLayout>
                  <c:x val="3.6524413687043601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3.075740099961554E-2"/>
                  <c:y val="-4.0064102564102855E-3"/>
                </c:manualLayout>
              </c:layout>
              <c:showVal val="1"/>
            </c:dLbl>
            <c:dLbl>
              <c:idx val="4"/>
              <c:layout>
                <c:manualLayout>
                  <c:x val="3.652441368704344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营业收入!$P$87:$P$91</c:f>
              <c:strCache>
                <c:ptCount val="5"/>
                <c:pt idx="0">
                  <c:v>行业人均营业收入（万元）</c:v>
                </c:pt>
                <c:pt idx="1">
                  <c:v>中电工程</c:v>
                </c:pt>
                <c:pt idx="2">
                  <c:v>中国能建集团</c:v>
                </c:pt>
                <c:pt idx="3">
                  <c:v>中国电建集团</c:v>
                </c:pt>
                <c:pt idx="4">
                  <c:v>其他企业</c:v>
                </c:pt>
              </c:strCache>
            </c:strRef>
          </c:cat>
          <c:val>
            <c:numRef>
              <c:f>营业收入!$T$87:$T$91</c:f>
              <c:numCache>
                <c:formatCode>0.00_);[Red]\(0.00\)</c:formatCode>
                <c:ptCount val="5"/>
                <c:pt idx="0">
                  <c:v>196.05</c:v>
                </c:pt>
                <c:pt idx="1">
                  <c:v>254.67</c:v>
                </c:pt>
                <c:pt idx="2">
                  <c:v>189.37</c:v>
                </c:pt>
                <c:pt idx="3">
                  <c:v>181.03</c:v>
                </c:pt>
                <c:pt idx="4">
                  <c:v>163.35000000000107</c:v>
                </c:pt>
              </c:numCache>
            </c:numRef>
          </c:val>
        </c:ser>
        <c:shape val="box"/>
        <c:axId val="286941952"/>
        <c:axId val="286943488"/>
        <c:axId val="0"/>
      </c:bar3DChart>
      <c:catAx>
        <c:axId val="286941952"/>
        <c:scaling>
          <c:orientation val="minMax"/>
        </c:scaling>
        <c:axPos val="b"/>
        <c:numFmt formatCode="General" sourceLinked="1"/>
        <c:tickLblPos val="nextTo"/>
        <c:crossAx val="286943488"/>
        <c:crosses val="autoZero"/>
        <c:auto val="1"/>
        <c:lblAlgn val="ctr"/>
        <c:lblOffset val="100"/>
      </c:catAx>
      <c:valAx>
        <c:axId val="286943488"/>
        <c:scaling>
          <c:orientation val="minMax"/>
        </c:scaling>
        <c:axPos val="l"/>
        <c:majorGridlines/>
        <c:numFmt formatCode="0.00_);[Red]\(0.00\)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6941952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 b="1">
                <a:solidFill>
                  <a:srgbClr val="00B050"/>
                </a:solidFill>
              </a:defRPr>
            </a:pPr>
            <a:endParaRPr lang="zh-CN"/>
          </a:p>
        </c:txPr>
      </c:dTable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年以来行业境外业务营业收入走势图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20595361716857039"/>
          <c:y val="0.20140055409740701"/>
          <c:w val="0.79404638283142959"/>
          <c:h val="0.44395924467774861"/>
        </c:manualLayout>
      </c:layout>
      <c:lineChart>
        <c:grouping val="standard"/>
        <c:ser>
          <c:idx val="0"/>
          <c:order val="0"/>
          <c:tx>
            <c:strRef>
              <c:f>营业收入!$O$62</c:f>
              <c:strCache>
                <c:ptCount val="1"/>
                <c:pt idx="0">
                  <c:v>境外收入</c:v>
                </c:pt>
              </c:strCache>
            </c:strRef>
          </c:tx>
          <c:dLbls>
            <c:dLbl>
              <c:idx val="0"/>
              <c:layout>
                <c:manualLayout>
                  <c:x val="-3.6344755970924202E-2"/>
                  <c:y val="-5.524861878453037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152647975077892E-2"/>
                  <c:y val="-4.604051565377529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960539979231569E-2"/>
                  <c:y val="-4.14364640883978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883350640360617E-2"/>
                  <c:y val="-5.0644567219152767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营业收入!$P$61:$S$61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营业收入!$P$62:$S$62</c:f>
              <c:numCache>
                <c:formatCode>General</c:formatCode>
                <c:ptCount val="4"/>
                <c:pt idx="0">
                  <c:v>24.86</c:v>
                </c:pt>
                <c:pt idx="1">
                  <c:v>27.580000000000002</c:v>
                </c:pt>
                <c:pt idx="2">
                  <c:v>30.4</c:v>
                </c:pt>
                <c:pt idx="3">
                  <c:v>29.610000000000031</c:v>
                </c:pt>
              </c:numCache>
            </c:numRef>
          </c:val>
        </c:ser>
        <c:ser>
          <c:idx val="1"/>
          <c:order val="1"/>
          <c:tx>
            <c:strRef>
              <c:f>营业收入!$O$63</c:f>
              <c:strCache>
                <c:ptCount val="1"/>
                <c:pt idx="0">
                  <c:v>境外总承包收入</c:v>
                </c:pt>
              </c:strCache>
            </c:strRef>
          </c:tx>
          <c:dLbls>
            <c:dLbl>
              <c:idx val="0"/>
              <c:layout>
                <c:manualLayout>
                  <c:x val="-3.4614053305642087E-2"/>
                  <c:y val="-5.524861878453037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2883350640360617E-2"/>
                  <c:y val="-4.604051565377526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6344755970924202E-2"/>
                  <c:y val="-5.064456721915276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883350640360617E-2"/>
                  <c:y val="-4.6040515653775295E-2"/>
                </c:manualLayout>
              </c:layout>
              <c:tx>
                <c:rich>
                  <a:bodyPr/>
                  <a:lstStyle/>
                  <a:p>
                    <a:r>
                      <a:rPr lang="en-US" altLang="en-US"/>
                      <a:t>21.80</a:t>
                    </a:r>
                  </a:p>
                </c:rich>
              </c:tx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营业收入!$P$61:$S$61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营业收入!$P$63:$S$63</c:f>
              <c:numCache>
                <c:formatCode>General</c:formatCode>
                <c:ptCount val="4"/>
                <c:pt idx="0">
                  <c:v>14.139999999999999</c:v>
                </c:pt>
                <c:pt idx="1">
                  <c:v>19.110000000000031</c:v>
                </c:pt>
                <c:pt idx="2">
                  <c:v>21.479999999999986</c:v>
                </c:pt>
                <c:pt idx="3">
                  <c:v>21.8</c:v>
                </c:pt>
              </c:numCache>
            </c:numRef>
          </c:val>
        </c:ser>
        <c:ser>
          <c:idx val="2"/>
          <c:order val="2"/>
          <c:tx>
            <c:strRef>
              <c:f>营业收入!$O$64</c:f>
              <c:strCache>
                <c:ptCount val="1"/>
                <c:pt idx="0">
                  <c:v>境外勘测设计咨询收入</c:v>
                </c:pt>
              </c:strCache>
            </c:strRef>
          </c:tx>
          <c:dLbls>
            <c:dLbl>
              <c:idx val="0"/>
              <c:layout>
                <c:manualLayout>
                  <c:x val="-3.4614053305642087E-2"/>
                  <c:y val="5.524861878453037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7691242644514585E-2"/>
                  <c:y val="4.143646408839782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960539979231569E-2"/>
                  <c:y val="4.143646408839782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7691242644514585E-2"/>
                  <c:y val="4.604051565377529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990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营业收入!$P$61:$S$61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营业收入!$P$64:$S$64</c:f>
              <c:numCache>
                <c:formatCode>General</c:formatCode>
                <c:ptCount val="4"/>
                <c:pt idx="0">
                  <c:v>10.72</c:v>
                </c:pt>
                <c:pt idx="1">
                  <c:v>8.4700000000000042</c:v>
                </c:pt>
                <c:pt idx="2">
                  <c:v>8.92</c:v>
                </c:pt>
                <c:pt idx="3">
                  <c:v>7.8100000000000005</c:v>
                </c:pt>
              </c:numCache>
            </c:numRef>
          </c:val>
        </c:ser>
        <c:dLbls>
          <c:showVal val="1"/>
        </c:dLbls>
        <c:marker val="1"/>
        <c:axId val="287000448"/>
        <c:axId val="287001984"/>
      </c:lineChart>
      <c:catAx>
        <c:axId val="287000448"/>
        <c:scaling>
          <c:orientation val="minMax"/>
        </c:scaling>
        <c:axPos val="b"/>
        <c:numFmt formatCode="General" sourceLinked="1"/>
        <c:tickLblPos val="nextTo"/>
        <c:crossAx val="287001984"/>
        <c:crosses val="autoZero"/>
        <c:auto val="1"/>
        <c:lblAlgn val="ctr"/>
        <c:lblOffset val="100"/>
      </c:catAx>
      <c:valAx>
        <c:axId val="287001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70004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年以来行业境内外营业收入构成情况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0230037227751183E-2"/>
          <c:y val="0.34034826291875164"/>
          <c:w val="0.82193709143810556"/>
          <c:h val="0.61599834742880422"/>
        </c:manualLayout>
      </c:layout>
      <c:pie3DChart>
        <c:varyColors val="1"/>
        <c:ser>
          <c:idx val="0"/>
          <c:order val="0"/>
          <c:explosion val="25"/>
          <c:dPt>
            <c:idx val="1"/>
            <c:explosion val="35"/>
          </c:dPt>
          <c:dLbls>
            <c:dLbl>
              <c:idx val="0"/>
              <c:layout>
                <c:manualLayout>
                  <c:x val="0.1326579835986493"/>
                  <c:y val="-0.17489711934156379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行业境内营业总收入</a:t>
                    </a:r>
                    <a:r>
                      <a:rPr lang="en-US" altLang="zh-CN" sz="900" b="1"/>
                      <a:t> 2201.17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95.14%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6.7534973468403314E-2"/>
                  <c:y val="0.12860082304526738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行业境外营业总收入</a:t>
                    </a:r>
                    <a:r>
                      <a:rPr lang="en-US" altLang="zh-CN" sz="900" b="1"/>
                      <a:t>112.45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4.86%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营业收入!$P$114:$Q$114</c:f>
              <c:strCache>
                <c:ptCount val="2"/>
                <c:pt idx="0">
                  <c:v>行业境内营业总收入(亿元）</c:v>
                </c:pt>
                <c:pt idx="1">
                  <c:v>行业境外营业总收入（亿元）</c:v>
                </c:pt>
              </c:strCache>
            </c:strRef>
          </c:cat>
          <c:val>
            <c:numRef>
              <c:f>营业收入!$P$115:$Q$115</c:f>
              <c:numCache>
                <c:formatCode>General</c:formatCode>
                <c:ptCount val="2"/>
                <c:pt idx="0">
                  <c:v>2201.17</c:v>
                </c:pt>
                <c:pt idx="1">
                  <c:v>112.45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年以来行业境外营业收入中各业务板块构成情况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95822454308094E-2"/>
                  <c:y val="-0.20833333333333495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境外总承包收入</a:t>
                    </a:r>
                    <a:r>
                      <a:rPr lang="en-US" altLang="zh-CN" sz="900" b="1"/>
                      <a:t> 76.53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68.06%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 sz="900" b="1"/>
                      <a:t>境外勘测设计咨询收入</a:t>
                    </a:r>
                    <a:r>
                      <a:rPr lang="en-US" altLang="zh-CN" sz="900" b="1"/>
                      <a:t> 35.92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31.94%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营业收入!$AE$19:$AF$19</c:f>
              <c:strCache>
                <c:ptCount val="2"/>
                <c:pt idx="0">
                  <c:v>境外总承包收入</c:v>
                </c:pt>
                <c:pt idx="1">
                  <c:v>境外勘测设计咨询收入</c:v>
                </c:pt>
              </c:strCache>
            </c:strRef>
          </c:cat>
          <c:val>
            <c:numRef>
              <c:f>营业收入!$AE$20:$AF$20</c:f>
              <c:numCache>
                <c:formatCode>General</c:formatCode>
                <c:ptCount val="2"/>
                <c:pt idx="0">
                  <c:v>76.53</c:v>
                </c:pt>
                <c:pt idx="1">
                  <c:v>35.920000000000009</c:v>
                </c:pt>
              </c:numCache>
            </c:numRef>
          </c:val>
        </c:ser>
        <c:ser>
          <c:idx val="1"/>
          <c:order val="1"/>
          <c:explosion val="25"/>
          <c:dLbls>
            <c:dLblPos val="outEnd"/>
            <c:showVal val="1"/>
          </c:dLbls>
          <c:cat>
            <c:strRef>
              <c:f>营业收入!$AE$19:$AF$19</c:f>
              <c:strCache>
                <c:ptCount val="2"/>
                <c:pt idx="0">
                  <c:v>境外总承包收入</c:v>
                </c:pt>
                <c:pt idx="1">
                  <c:v>境外勘测设计咨询收入</c:v>
                </c:pt>
              </c:strCache>
            </c:strRef>
          </c:cat>
          <c:val>
            <c:numRef>
              <c:f>营业收入!$AE$21:$AF$21</c:f>
              <c:numCache>
                <c:formatCode>0.00%</c:formatCode>
                <c:ptCount val="2"/>
                <c:pt idx="0">
                  <c:v>0.68056914184081208</c:v>
                </c:pt>
                <c:pt idx="1">
                  <c:v>0.31943085815918232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年以来行业境外营业总收入中各企业集团构成情况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764705882352942"/>
          <c:y val="0.23333333333333497"/>
          <c:w val="0.70837642169728787"/>
          <c:h val="0.74814814814815511"/>
        </c:manualLayout>
      </c:layout>
      <c:pie3DChart>
        <c:varyColors val="1"/>
        <c:ser>
          <c:idx val="0"/>
          <c:order val="0"/>
          <c:tx>
            <c:strRef>
              <c:f>营业收入!$B$68</c:f>
              <c:strCache>
                <c:ptCount val="1"/>
                <c:pt idx="0">
                  <c:v>营业收入(亿元）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2.2058823529411856E-2"/>
                  <c:y val="1.8518518518518583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43.93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39.07%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8.6061834182493524E-2"/>
                  <c:y val="-3.2407407407407919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 42.27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37.59%</a:t>
                    </a:r>
                  </a:p>
                </c:rich>
              </c:tx>
              <c:dLblPos val="bestFit"/>
              <c:showLegendKey val="1"/>
            </c:dLbl>
            <c:dLbl>
              <c:idx val="2"/>
              <c:layout>
                <c:manualLayout>
                  <c:x val="0"/>
                  <c:y val="9.2592592592594582E-3"/>
                </c:manualLayout>
              </c:layout>
              <c:dLblPos val="bestFit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layout>
                <c:manualLayout>
                  <c:x val="0"/>
                  <c:y val="2.7777777777778449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12.76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11.35%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营业收入!$C$67:$F$67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营业收入!$C$68:$F$68</c:f>
              <c:numCache>
                <c:formatCode>General</c:formatCode>
                <c:ptCount val="4"/>
                <c:pt idx="0">
                  <c:v>43.93</c:v>
                </c:pt>
                <c:pt idx="1">
                  <c:v>42.27</c:v>
                </c:pt>
                <c:pt idx="2">
                  <c:v>13.49</c:v>
                </c:pt>
                <c:pt idx="3">
                  <c:v>12.76</c:v>
                </c:pt>
              </c:numCache>
            </c:numRef>
          </c:val>
        </c:ser>
        <c:ser>
          <c:idx val="1"/>
          <c:order val="1"/>
          <c:tx>
            <c:strRef>
              <c:f>营业收入!$B$69</c:f>
              <c:strCache>
                <c:ptCount val="1"/>
              </c:strCache>
            </c:strRef>
          </c:tx>
          <c:explosion val="25"/>
          <c:dLbls>
            <c:dLblPos val="outEnd"/>
            <c:showVal val="1"/>
          </c:dLbls>
          <c:cat>
            <c:strRef>
              <c:f>营业收入!$C$67:$F$67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营业收入!$C$69:$F$69</c:f>
              <c:numCache>
                <c:formatCode>0.00%</c:formatCode>
                <c:ptCount val="4"/>
                <c:pt idx="0">
                  <c:v>0.39066251667408175</c:v>
                </c:pt>
                <c:pt idx="1">
                  <c:v>0.37590040017786369</c:v>
                </c:pt>
                <c:pt idx="2">
                  <c:v>0.11996442863494887</c:v>
                </c:pt>
                <c:pt idx="3">
                  <c:v>0.11347265451311712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年以来行业境外总承包收入中各企业集团构成情况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764705882352942"/>
          <c:y val="0.2588957055214724"/>
          <c:w val="0.68141558591939955"/>
          <c:h val="0.7225858654171296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656862745098050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中电工程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21.45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;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28.03%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0.33823529411765152"/>
                  <c:y val="-2.214839424141747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中国能建集团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34.72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;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45.37%</a:t>
                    </a:r>
                    <a:endParaRPr lang="zh-CN" altLang="en-US" sz="900" b="1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bestFit"/>
              <c:showLegendKey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中国电建集团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8.53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;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11.15%</a:t>
                    </a:r>
                  </a:p>
                </c:rich>
              </c:tx>
              <c:dLblPos val="bestFit"/>
              <c:showLegendKey val="1"/>
            </c:dLbl>
            <c:dLbl>
              <c:idx val="3"/>
              <c:layout>
                <c:manualLayout>
                  <c:x val="2.2058823529411856E-2"/>
                  <c:y val="3.067484662576747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其他企业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11.83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;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15.46%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营业收入!$C$93:$F$93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营业收入!$C$94:$F$94</c:f>
              <c:numCache>
                <c:formatCode>General</c:formatCode>
                <c:ptCount val="4"/>
                <c:pt idx="0">
                  <c:v>21.45</c:v>
                </c:pt>
                <c:pt idx="1">
                  <c:v>34.720000000000013</c:v>
                </c:pt>
                <c:pt idx="2">
                  <c:v>8.5300000000000011</c:v>
                </c:pt>
                <c:pt idx="3">
                  <c:v>11.83</c:v>
                </c:pt>
              </c:numCache>
            </c:numRef>
          </c:val>
        </c:ser>
        <c:ser>
          <c:idx val="1"/>
          <c:order val="1"/>
          <c:explosion val="25"/>
          <c:dLbls>
            <c:showVal val="1"/>
          </c:dLbls>
          <c:cat>
            <c:strRef>
              <c:f>营业收入!$C$93:$F$93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营业收入!$C$95:$F$95</c:f>
              <c:numCache>
                <c:formatCode>0.00%</c:formatCode>
                <c:ptCount val="4"/>
                <c:pt idx="0">
                  <c:v>0.28028224225793807</c:v>
                </c:pt>
                <c:pt idx="1">
                  <c:v>0.45367829609303539</c:v>
                </c:pt>
                <c:pt idx="2">
                  <c:v>0.1114595583431334</c:v>
                </c:pt>
                <c:pt idx="3">
                  <c:v>0.15457990330589341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年以来行业境外勘测设计咨询收入中各企业集团构成情况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764705882352942"/>
          <c:y val="0.27423312883435574"/>
          <c:w val="0.68141558591939955"/>
          <c:h val="0.7225858654171296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3.1862745098039241E-2"/>
                  <c:y val="-0.20961145194274144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中电工程</a:t>
                    </a:r>
                    <a:r>
                      <a:rPr lang="en-US" altLang="zh-CN"/>
                      <a:t>22.48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 62.58%</a:t>
                    </a:r>
                    <a:endParaRPr lang="zh-CN" altLang="en-US"/>
                  </a:p>
                </c:rich>
              </c:tx>
              <c:dLblPos val="bestFit"/>
              <c:showLegendKey val="1"/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/>
                      <a:t>中国能建集团</a:t>
                    </a:r>
                    <a:r>
                      <a:rPr lang="en-US" altLang="zh-CN"/>
                      <a:t>7.55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 21.02%</a:t>
                    </a:r>
                    <a:endParaRPr lang="zh-CN" altLang="en-US"/>
                  </a:p>
                </c:rich>
              </c:tx>
              <c:dLblPos val="bestFit"/>
              <c:showLegendKey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/>
                      <a:t>中国电建集团</a:t>
                    </a:r>
                    <a:r>
                      <a:rPr lang="en-US" altLang="zh-CN"/>
                      <a:t>;4.96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 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13.81%</a:t>
                    </a:r>
                    <a:endParaRPr lang="zh-CN" altLang="en-US"/>
                  </a:p>
                </c:rich>
              </c:tx>
              <c:dLblPos val="bestFit"/>
              <c:showLegendKey val="1"/>
            </c:dLbl>
            <c:dLbl>
              <c:idx val="3"/>
              <c:layout>
                <c:manualLayout>
                  <c:x val="0.14037433155080423"/>
                  <c:y val="-1.5337423312883501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其他企业</a:t>
                    </a:r>
                    <a:r>
                      <a:rPr lang="en-US" altLang="zh-CN"/>
                      <a:t> 0.93</a:t>
                    </a:r>
                    <a:r>
                      <a:rPr lang="zh-CN" altLang="en-US"/>
                      <a:t>亿元</a:t>
                    </a:r>
                    <a:r>
                      <a:rPr lang="en-US" altLang="zh-CN"/>
                      <a:t>;</a:t>
                    </a:r>
                    <a:r>
                      <a:rPr lang="zh-CN" altLang="en-US"/>
                      <a:t>占</a:t>
                    </a:r>
                    <a:r>
                      <a:rPr lang="en-US" altLang="zh-CN"/>
                      <a:t>2.59%</a:t>
                    </a:r>
                    <a:endParaRPr lang="zh-CN" altLang="en-US"/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营业收入!$C$117:$F$117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营业收入!$C$118:$F$118</c:f>
              <c:numCache>
                <c:formatCode>General</c:formatCode>
                <c:ptCount val="4"/>
                <c:pt idx="0">
                  <c:v>22.479999999999986</c:v>
                </c:pt>
                <c:pt idx="1">
                  <c:v>7.55</c:v>
                </c:pt>
                <c:pt idx="2">
                  <c:v>4.96</c:v>
                </c:pt>
                <c:pt idx="3">
                  <c:v>0.93</c:v>
                </c:pt>
              </c:numCache>
            </c:numRef>
          </c:val>
        </c:ser>
        <c:ser>
          <c:idx val="1"/>
          <c:order val="1"/>
          <c:explosion val="25"/>
          <c:dLbls>
            <c:showVal val="1"/>
          </c:dLbls>
          <c:cat>
            <c:strRef>
              <c:f>营业收入!$C$117:$F$117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营业收入!$C$119:$F$119</c:f>
              <c:numCache>
                <c:formatCode>0.00%</c:formatCode>
                <c:ptCount val="4"/>
                <c:pt idx="0">
                  <c:v>0.62583518930958515</c:v>
                </c:pt>
                <c:pt idx="1">
                  <c:v>0.21018930957683962</c:v>
                </c:pt>
                <c:pt idx="2">
                  <c:v>0.13808463251670391</c:v>
                </c:pt>
                <c:pt idx="3">
                  <c:v>2.5890868596881982E-2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sz="1200">
                <a:solidFill>
                  <a:srgbClr val="FF0000"/>
                </a:solidFill>
              </a:rPr>
              <a:t>2012</a:t>
            </a:r>
            <a:r>
              <a:rPr lang="zh-CN" sz="1200">
                <a:solidFill>
                  <a:srgbClr val="FF0000"/>
                </a:solidFill>
              </a:rPr>
              <a:t>年以来行业实现利润总额及净利润走势图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27838846720737437"/>
          <c:y val="0.17350237513060526"/>
          <c:w val="0.70759751877862109"/>
          <c:h val="0.48120426123205923"/>
        </c:manualLayout>
      </c:layout>
      <c:lineChart>
        <c:grouping val="standard"/>
        <c:ser>
          <c:idx val="0"/>
          <c:order val="0"/>
          <c:tx>
            <c:strRef>
              <c:f>利润及增加值!$M$2</c:f>
              <c:strCache>
                <c:ptCount val="1"/>
                <c:pt idx="0">
                  <c:v>行业实现利润总额(亿元）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solidFill>
                      <a:srgbClr val="00206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利润及增加值!$N$1:$Q$1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利润及增加值!$N$2:$Q$2</c:f>
              <c:numCache>
                <c:formatCode>General</c:formatCode>
                <c:ptCount val="4"/>
                <c:pt idx="0">
                  <c:v>50.42</c:v>
                </c:pt>
                <c:pt idx="1">
                  <c:v>52.39</c:v>
                </c:pt>
                <c:pt idx="2">
                  <c:v>53.91</c:v>
                </c:pt>
                <c:pt idx="3">
                  <c:v>62.480000000000004</c:v>
                </c:pt>
              </c:numCache>
            </c:numRef>
          </c:val>
        </c:ser>
        <c:ser>
          <c:idx val="1"/>
          <c:order val="1"/>
          <c:tx>
            <c:strRef>
              <c:f>利润及增加值!$M$3</c:f>
              <c:strCache>
                <c:ptCount val="1"/>
                <c:pt idx="0">
                  <c:v>行业净利润(亿元）</c:v>
                </c:pt>
              </c:strCache>
            </c:strRef>
          </c:tx>
          <c:dLbls>
            <c:dLbl>
              <c:idx val="0"/>
              <c:layout>
                <c:manualLayout>
                  <c:x val="-2.7984519953023892E-2"/>
                  <c:y val="7.0280599330008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036036036036036E-2"/>
                  <c:y val="4.923511100100182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003003003003004E-2"/>
                  <c:y val="6.312396996887016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0291236118007811E-2"/>
                  <c:y val="7.491021898596471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利润及增加值!$N$1:$Q$1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利润及增加值!$N$3:$Q$3</c:f>
              <c:numCache>
                <c:formatCode>General</c:formatCode>
                <c:ptCount val="4"/>
                <c:pt idx="0">
                  <c:v>42</c:v>
                </c:pt>
                <c:pt idx="1">
                  <c:v>43.82</c:v>
                </c:pt>
                <c:pt idx="2">
                  <c:v>44.790000000000013</c:v>
                </c:pt>
                <c:pt idx="3">
                  <c:v>51.5</c:v>
                </c:pt>
              </c:numCache>
            </c:numRef>
          </c:val>
        </c:ser>
        <c:dLbls>
          <c:showVal val="1"/>
        </c:dLbls>
        <c:marker val="1"/>
        <c:axId val="287263360"/>
        <c:axId val="287289728"/>
      </c:lineChart>
      <c:catAx>
        <c:axId val="287263360"/>
        <c:scaling>
          <c:orientation val="minMax"/>
        </c:scaling>
        <c:axPos val="b"/>
        <c:numFmt formatCode="General" sourceLinked="1"/>
        <c:tickLblPos val="nextTo"/>
        <c:crossAx val="287289728"/>
        <c:crosses val="autoZero"/>
        <c:auto val="1"/>
        <c:lblAlgn val="ctr"/>
        <c:lblOffset val="100"/>
      </c:catAx>
      <c:valAx>
        <c:axId val="287289728"/>
        <c:scaling>
          <c:orientation val="minMax"/>
        </c:scaling>
        <c:axPos val="l"/>
        <c:majorGridlines/>
        <c:numFmt formatCode="General" sourceLinked="1"/>
        <c:tickLblPos val="nextTo"/>
        <c:crossAx val="287263360"/>
        <c:crosses val="autoZero"/>
        <c:crossBetween val="between"/>
      </c:valAx>
      <c:dTable>
        <c:showHorzBorder val="1"/>
        <c:showVertBorder val="1"/>
        <c:showOutline val="1"/>
      </c:dTable>
    </c:plotArea>
    <c:plotVisOnly val="1"/>
    <c:dispBlanksAs val="gap"/>
  </c:chart>
  <c:txPr>
    <a:bodyPr/>
    <a:lstStyle/>
    <a:p>
      <a:pPr>
        <a:defRPr b="1">
          <a:solidFill>
            <a:srgbClr val="00B050"/>
          </a:solidFill>
        </a:defRPr>
      </a:pPr>
      <a:endParaRPr lang="zh-CN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年行业实现利润总额中各企业集团构成情况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5329122528748704E-2"/>
                  <c:y val="1.1495584536308114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57.51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26.24%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3.2084537094733682E-2"/>
                  <c:y val="-3.427554954068241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45.75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20.87%</a:t>
                    </a:r>
                  </a:p>
                </c:rich>
              </c:tx>
              <c:dLblPos val="bestFit"/>
              <c:showLegendKey val="1"/>
            </c:dLbl>
            <c:dLbl>
              <c:idx val="2"/>
              <c:layout>
                <c:manualLayout>
                  <c:x val="-4.8565210823467313E-2"/>
                  <c:y val="-4.0212502734033324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39.63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18.08%</a:t>
                    </a:r>
                  </a:p>
                </c:rich>
              </c:tx>
              <c:dLblPos val="bestFit"/>
              <c:showLegendKey val="1"/>
            </c:dLbl>
            <c:dLbl>
              <c:idx val="3"/>
              <c:layout>
                <c:manualLayout>
                  <c:x val="3.3406031080647292E-3"/>
                  <c:y val="-3.59576634951881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76.31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34.81%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利润及增加值!$M$15:$P$15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利润及增加值!$M$16:$P$16</c:f>
              <c:numCache>
                <c:formatCode>General</c:formatCode>
                <c:ptCount val="4"/>
                <c:pt idx="0">
                  <c:v>57.51</c:v>
                </c:pt>
                <c:pt idx="1">
                  <c:v>45.75</c:v>
                </c:pt>
                <c:pt idx="2">
                  <c:v>39.63000000000001</c:v>
                </c:pt>
                <c:pt idx="3">
                  <c:v>76.31</c:v>
                </c:pt>
              </c:numCache>
            </c:numRef>
          </c:val>
        </c:ser>
        <c:ser>
          <c:idx val="1"/>
          <c:order val="1"/>
          <c:explosion val="25"/>
          <c:dLbls>
            <c:dLblPos val="outEnd"/>
            <c:showVal val="1"/>
          </c:dLbls>
          <c:cat>
            <c:strRef>
              <c:f>利润及增加值!$M$15:$P$15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利润及增加值!$M$17:$P$17</c:f>
              <c:numCache>
                <c:formatCode>0.00%</c:formatCode>
                <c:ptCount val="4"/>
                <c:pt idx="0">
                  <c:v>0.26236313868612759</c:v>
                </c:pt>
                <c:pt idx="1">
                  <c:v>0.20871350364963503</c:v>
                </c:pt>
                <c:pt idx="2">
                  <c:v>0.18079379562043998</c:v>
                </c:pt>
                <c:pt idx="3">
                  <c:v>0.3481295620437958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年以来行业企业拥有总资产发展情况</a:t>
            </a:r>
          </a:p>
        </c:rich>
      </c:tx>
    </c:title>
    <c:plotArea>
      <c:layout>
        <c:manualLayout>
          <c:layoutTarget val="inner"/>
          <c:xMode val="edge"/>
          <c:yMode val="edge"/>
          <c:x val="6.2775117887806514E-2"/>
          <c:y val="0.20602987453793542"/>
          <c:w val="0.92426551519769706"/>
          <c:h val="0.58125353001760161"/>
        </c:manualLayout>
      </c:layout>
      <c:lineChart>
        <c:grouping val="standard"/>
        <c:ser>
          <c:idx val="0"/>
          <c:order val="0"/>
          <c:tx>
            <c:strRef>
              <c:f>企业规模指标!$H$44</c:f>
              <c:strCache>
                <c:ptCount val="1"/>
                <c:pt idx="0">
                  <c:v>拥有资产总额（亿元）</c:v>
                </c:pt>
              </c:strCache>
            </c:strRef>
          </c:tx>
          <c:spPr>
            <a:ln>
              <a:gradFill>
                <a:gsLst>
                  <a:gs pos="0">
                    <a:srgbClr val="000082"/>
                  </a:gs>
                  <a:gs pos="30000">
                    <a:srgbClr val="66008F"/>
                  </a:gs>
                  <a:gs pos="64999">
                    <a:srgbClr val="BA0066"/>
                  </a:gs>
                  <a:gs pos="89999">
                    <a:srgbClr val="FF0000"/>
                  </a:gs>
                  <a:gs pos="100000">
                    <a:srgbClr val="FF8200"/>
                  </a:gs>
                </a:gsLst>
                <a:lin ang="5400000" scaled="0"/>
              </a:gradFill>
            </a:ln>
          </c:spPr>
          <c:dLbls>
            <c:dLbl>
              <c:idx val="0"/>
              <c:layout>
                <c:manualLayout>
                  <c:x val="-3.7076271186441044E-2"/>
                  <c:y val="-0.10471204188481679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3545197740113011E-2"/>
                  <c:y val="-7.853403141361259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8841807909604953E-2"/>
                  <c:y val="-9.5986038394415343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7076271186441044E-2"/>
                  <c:y val="-8.726003490401396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FF00FF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企业规模指标!$I$43:$L$43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企业规模指标!$I$44:$L$44</c:f>
              <c:numCache>
                <c:formatCode>General</c:formatCode>
                <c:ptCount val="4"/>
                <c:pt idx="0">
                  <c:v>472.48999999999899</c:v>
                </c:pt>
                <c:pt idx="1">
                  <c:v>607.55000000000007</c:v>
                </c:pt>
                <c:pt idx="2">
                  <c:v>714.88</c:v>
                </c:pt>
                <c:pt idx="3">
                  <c:v>842.30000000000007</c:v>
                </c:pt>
              </c:numCache>
            </c:numRef>
          </c:val>
        </c:ser>
        <c:marker val="1"/>
        <c:axId val="285935488"/>
        <c:axId val="285937024"/>
      </c:lineChart>
      <c:catAx>
        <c:axId val="2859354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5937024"/>
        <c:crosses val="autoZero"/>
        <c:auto val="1"/>
        <c:lblAlgn val="ctr"/>
        <c:lblOffset val="100"/>
      </c:catAx>
      <c:valAx>
        <c:axId val="28593702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59354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年行业实现净利润中各企业集团构成情况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2127508255016512E-2"/>
                  <c:y val="-1.3823955599300325E-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48.26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26.5%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1.3838032342731361E-2"/>
                  <c:y val="-5.0486999671916534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38.15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20.95%</a:t>
                    </a:r>
                  </a:p>
                </c:rich>
              </c:tx>
              <c:dLblPos val="bestFit"/>
              <c:showLegendKey val="1"/>
            </c:dLbl>
            <c:dLbl>
              <c:idx val="2"/>
              <c:layout>
                <c:manualLayout>
                  <c:x val="2.3980815347721851E-3"/>
                  <c:y val="-4.340277777777778E-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32.86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18.04%</a:t>
                    </a:r>
                  </a:p>
                </c:rich>
              </c:tx>
              <c:dLblPos val="bestFit"/>
              <c:showLegendKey val="1"/>
            </c:dLbl>
            <c:dLbl>
              <c:idx val="3"/>
              <c:layout>
                <c:manualLayout>
                  <c:x val="3.5660485987638643E-2"/>
                  <c:y val="-7.763868383639666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62.84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34.51%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利润及增加值!$C$21:$F$21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利润及增加值!$C$22:$F$22</c:f>
              <c:numCache>
                <c:formatCode>General</c:formatCode>
                <c:ptCount val="4"/>
                <c:pt idx="0">
                  <c:v>48.260000000000012</c:v>
                </c:pt>
                <c:pt idx="1">
                  <c:v>38.15</c:v>
                </c:pt>
                <c:pt idx="2">
                  <c:v>32.86</c:v>
                </c:pt>
                <c:pt idx="3">
                  <c:v>62.839999999999996</c:v>
                </c:pt>
              </c:numCache>
            </c:numRef>
          </c:val>
        </c:ser>
        <c:ser>
          <c:idx val="1"/>
          <c:order val="1"/>
          <c:explosion val="25"/>
          <c:dLbls>
            <c:showVal val="1"/>
          </c:dLbls>
          <c:cat>
            <c:strRef>
              <c:f>利润及增加值!$C$21:$F$21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利润及增加值!$C$23:$F$23</c:f>
              <c:numCache>
                <c:formatCode>0.00%</c:formatCode>
                <c:ptCount val="4"/>
                <c:pt idx="0">
                  <c:v>0.26500466750865365</c:v>
                </c:pt>
                <c:pt idx="1">
                  <c:v>0.20948877052331041</c:v>
                </c:pt>
                <c:pt idx="2">
                  <c:v>0.18044039316896729</c:v>
                </c:pt>
                <c:pt idx="3">
                  <c:v>0.34506616879908192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年以来行业经济增加值走势图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21800837558917979"/>
          <c:y val="0.1876640419947507"/>
          <c:w val="0.78199162441083192"/>
          <c:h val="0.51708333333333334"/>
        </c:manualLayout>
      </c:layout>
      <c:lineChart>
        <c:grouping val="standard"/>
        <c:ser>
          <c:idx val="0"/>
          <c:order val="0"/>
          <c:tx>
            <c:strRef>
              <c:f>利润及增加值!$A$47</c:f>
              <c:strCache>
                <c:ptCount val="1"/>
                <c:pt idx="0">
                  <c:v>经济增加值(亿元）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solidFill>
                      <a:srgbClr val="002060"/>
                    </a:solidFill>
                  </a:defRPr>
                </a:pPr>
                <a:endParaRPr lang="zh-CN"/>
              </a:p>
            </c:txPr>
            <c:dLblPos val="b"/>
            <c:showVal val="1"/>
          </c:dLbls>
          <c:cat>
            <c:strRef>
              <c:f>利润及增加值!$B$46:$E$46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利润及增加值!$B$47:$E$47</c:f>
              <c:numCache>
                <c:formatCode>0.00_);[Red]\(0.00\)</c:formatCode>
                <c:ptCount val="4"/>
                <c:pt idx="0">
                  <c:v>27.5</c:v>
                </c:pt>
                <c:pt idx="1">
                  <c:v>38.96</c:v>
                </c:pt>
                <c:pt idx="2">
                  <c:v>37.42</c:v>
                </c:pt>
                <c:pt idx="3">
                  <c:v>38.65</c:v>
                </c:pt>
              </c:numCache>
            </c:numRef>
          </c:val>
        </c:ser>
        <c:dLbls>
          <c:showVal val="1"/>
        </c:dLbls>
        <c:marker val="1"/>
        <c:axId val="287407104"/>
        <c:axId val="287412992"/>
      </c:lineChart>
      <c:catAx>
        <c:axId val="287407104"/>
        <c:scaling>
          <c:orientation val="minMax"/>
        </c:scaling>
        <c:axPos val="b"/>
        <c:numFmt formatCode="General" sourceLinked="1"/>
        <c:tickLblPos val="nextTo"/>
        <c:crossAx val="287412992"/>
        <c:crosses val="autoZero"/>
        <c:auto val="1"/>
        <c:lblAlgn val="ctr"/>
        <c:lblOffset val="100"/>
      </c:catAx>
      <c:valAx>
        <c:axId val="287412992"/>
        <c:scaling>
          <c:orientation val="minMax"/>
        </c:scaling>
        <c:axPos val="l"/>
        <c:majorGridlines/>
        <c:numFmt formatCode="0.00_);[Red]\(0.00\)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7407104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年以来行业经济增加值中各企业集团构成情况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39.88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27.98%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35.58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24.96%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31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21.75%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36.07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25.31%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利润及增加值!$P$46:$S$46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利润及增加值!$P$47:$S$47</c:f>
              <c:numCache>
                <c:formatCode>General</c:formatCode>
                <c:ptCount val="4"/>
                <c:pt idx="0">
                  <c:v>39.879999999999995</c:v>
                </c:pt>
                <c:pt idx="1">
                  <c:v>35.58</c:v>
                </c:pt>
                <c:pt idx="2">
                  <c:v>31</c:v>
                </c:pt>
                <c:pt idx="3">
                  <c:v>36.07</c:v>
                </c:pt>
              </c:numCache>
            </c:numRef>
          </c:val>
        </c:ser>
        <c:ser>
          <c:idx val="1"/>
          <c:order val="1"/>
          <c:explosion val="25"/>
          <c:dLbls>
            <c:dLblPos val="outEnd"/>
            <c:showVal val="1"/>
          </c:dLbls>
          <c:cat>
            <c:strRef>
              <c:f>利润及增加值!$P$46:$S$46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利润及增加值!$P$48:$S$48</c:f>
              <c:numCache>
                <c:formatCode>0.00%</c:formatCode>
                <c:ptCount val="4"/>
                <c:pt idx="0">
                  <c:v>0.279800743703083</c:v>
                </c:pt>
                <c:pt idx="1">
                  <c:v>0.24963165649336991</c:v>
                </c:pt>
                <c:pt idx="2">
                  <c:v>0.2174980705816352</c:v>
                </c:pt>
                <c:pt idx="3">
                  <c:v>0.25306952922191817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en-US" altLang="zh-CN" sz="1400">
                <a:solidFill>
                  <a:srgbClr val="FF0000"/>
                </a:solidFill>
              </a:rPr>
              <a:t>2012</a:t>
            </a:r>
            <a:r>
              <a:rPr lang="zh-CN" altLang="en-US" sz="1400">
                <a:solidFill>
                  <a:srgbClr val="FF0000"/>
                </a:solidFill>
              </a:rPr>
              <a:t>年以来行业企业人力资源变化情况</a:t>
            </a:r>
          </a:p>
        </c:rich>
      </c:tx>
    </c:title>
    <c:plotArea>
      <c:layout>
        <c:manualLayout>
          <c:layoutTarget val="inner"/>
          <c:xMode val="edge"/>
          <c:yMode val="edge"/>
          <c:x val="0.26831501831501831"/>
          <c:y val="0.2158470322788599"/>
          <c:w val="0.73168498168498164"/>
          <c:h val="0.49057190219643598"/>
        </c:manualLayout>
      </c:layout>
      <c:lineChart>
        <c:grouping val="standard"/>
        <c:ser>
          <c:idx val="0"/>
          <c:order val="0"/>
          <c:tx>
            <c:strRef>
              <c:f>人力资源数据!$J$9</c:f>
              <c:strCache>
                <c:ptCount val="1"/>
                <c:pt idx="0">
                  <c:v>拥有专业技术职称人数（人）</c:v>
                </c:pt>
              </c:strCache>
            </c:strRef>
          </c:tx>
          <c:dLbls>
            <c:dLbl>
              <c:idx val="1"/>
              <c:layout>
                <c:manualLayout>
                  <c:x val="-3.6172143145568346E-2"/>
                  <c:y val="-5.555555555555545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人力资源数据!$K$8:$N$8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人力资源数据!$K$9:$N$9</c:f>
              <c:numCache>
                <c:formatCode>General</c:formatCode>
                <c:ptCount val="4"/>
                <c:pt idx="0">
                  <c:v>24273</c:v>
                </c:pt>
                <c:pt idx="1">
                  <c:v>25352</c:v>
                </c:pt>
                <c:pt idx="2">
                  <c:v>26258</c:v>
                </c:pt>
                <c:pt idx="3">
                  <c:v>27645</c:v>
                </c:pt>
              </c:numCache>
            </c:numRef>
          </c:val>
        </c:ser>
        <c:ser>
          <c:idx val="1"/>
          <c:order val="1"/>
          <c:tx>
            <c:strRef>
              <c:f>人力资源数据!$J$10</c:f>
              <c:strCache>
                <c:ptCount val="1"/>
                <c:pt idx="0">
                  <c:v> 注册执业人员（人)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人力资源数据!$K$8:$N$8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人力资源数据!$K$10:$N$10</c:f>
              <c:numCache>
                <c:formatCode>General</c:formatCode>
                <c:ptCount val="4"/>
                <c:pt idx="0">
                  <c:v>7548</c:v>
                </c:pt>
                <c:pt idx="1">
                  <c:v>8791</c:v>
                </c:pt>
                <c:pt idx="2">
                  <c:v>8968</c:v>
                </c:pt>
                <c:pt idx="3">
                  <c:v>9378</c:v>
                </c:pt>
              </c:numCache>
            </c:numRef>
          </c:val>
        </c:ser>
        <c:dLbls>
          <c:showVal val="1"/>
        </c:dLbls>
        <c:marker val="1"/>
        <c:axId val="287491968"/>
        <c:axId val="287493504"/>
      </c:lineChart>
      <c:catAx>
        <c:axId val="287491968"/>
        <c:scaling>
          <c:orientation val="minMax"/>
        </c:scaling>
        <c:axPos val="b"/>
        <c:numFmt formatCode="General" sourceLinked="1"/>
        <c:tickLblPos val="nextTo"/>
        <c:crossAx val="287493504"/>
        <c:crosses val="autoZero"/>
        <c:auto val="1"/>
        <c:lblAlgn val="ctr"/>
        <c:lblOffset val="100"/>
      </c:catAx>
      <c:valAx>
        <c:axId val="2874935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b="1">
                <a:solidFill>
                  <a:srgbClr val="00B050"/>
                </a:solidFill>
              </a:defRPr>
            </a:pPr>
            <a:endParaRPr lang="zh-CN"/>
          </a:p>
        </c:txPr>
        <c:crossAx val="287491968"/>
        <c:crosses val="autoZero"/>
        <c:crossBetween val="between"/>
      </c:valAx>
      <c:dTable>
        <c:showHorzBorder val="1"/>
        <c:showVertBorder val="1"/>
        <c:showOutline val="1"/>
        <c:txPr>
          <a:bodyPr/>
          <a:lstStyle/>
          <a:p>
            <a:pPr rtl="0">
              <a:defRPr sz="900"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2015</a:t>
            </a:r>
            <a:r>
              <a:rPr lang="zh-CN" altLang="en-US" sz="1200">
                <a:solidFill>
                  <a:srgbClr val="FF0000"/>
                </a:solidFill>
              </a:rPr>
              <a:t>年行业拥有专业技术职称人数中各企业集团构成情况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6683481381644108E-2"/>
          <c:y val="0.15375491558364893"/>
          <c:w val="0.66499964531461608"/>
          <c:h val="0.84624508441635105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28"/>
          </c:dPt>
          <c:dPt>
            <c:idx val="1"/>
            <c:explosion val="41"/>
          </c:dPt>
          <c:dLbls>
            <c:dLbl>
              <c:idx val="0"/>
              <c:layout>
                <c:manualLayout>
                  <c:x val="1.3346680013346681E-2"/>
                  <c:y val="9.227220299884662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 7280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26.33%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layout>
                <c:manualLayout>
                  <c:x val="3.333333333333334E-2"/>
                  <c:y val="-7.4074074074074001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8156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29.50%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layout>
                <c:manualLayout>
                  <c:x val="0"/>
                  <c:y val="4.166666666666656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4126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14.92%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layout>
                <c:manualLayout>
                  <c:x val="0"/>
                  <c:y val="1.7140742355302475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8083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29.24%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人力资源数据!$K$30:$N$30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人力资源数据!$K$31:$N$31</c:f>
              <c:numCache>
                <c:formatCode>General</c:formatCode>
                <c:ptCount val="4"/>
                <c:pt idx="0">
                  <c:v>7280</c:v>
                </c:pt>
                <c:pt idx="1">
                  <c:v>8156</c:v>
                </c:pt>
                <c:pt idx="2">
                  <c:v>4126</c:v>
                </c:pt>
                <c:pt idx="3">
                  <c:v>8083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zh-CN" altLang="en-US" sz="1200">
                <a:solidFill>
                  <a:srgbClr val="FF0000"/>
                </a:solidFill>
              </a:rPr>
              <a:t> </a:t>
            </a:r>
            <a:r>
              <a:rPr lang="en-US" altLang="zh-CN" sz="1200">
                <a:solidFill>
                  <a:srgbClr val="FF0000"/>
                </a:solidFill>
              </a:rPr>
              <a:t>2015</a:t>
            </a:r>
            <a:r>
              <a:rPr lang="zh-CN" altLang="en-US" sz="1200">
                <a:solidFill>
                  <a:srgbClr val="FF0000"/>
                </a:solidFill>
              </a:rPr>
              <a:t>年行业所拥有注册执业人员中各企业集团构成情况</a:t>
            </a:r>
            <a:endParaRPr lang="en-US" altLang="zh-CN" sz="1200">
              <a:solidFill>
                <a:srgbClr val="FF0000"/>
              </a:solidFill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人力资源数据!$J$52</c:f>
              <c:strCache>
                <c:ptCount val="1"/>
                <c:pt idx="0">
                  <c:v> 注册执业人员（人)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2367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25.24%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0"/>
                  <c:y val="4.629629629629697E-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2705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28.84%</a:t>
                    </a:r>
                  </a:p>
                </c:rich>
              </c:tx>
              <c:dLblPos val="bestFit"/>
              <c:showLegendKey val="1"/>
            </c:dLbl>
            <c:dLbl>
              <c:idx val="2"/>
              <c:layout>
                <c:manualLayout>
                  <c:x val="-1.4503937007874014E-2"/>
                  <c:y val="-5.4154272382618864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1987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21.19%</a:t>
                    </a:r>
                  </a:p>
                </c:rich>
              </c:tx>
              <c:dLblPos val="bestFit"/>
              <c:showLegendKey val="1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2319</a:t>
                    </a:r>
                    <a:r>
                      <a:rPr lang="zh-CN" altLang="en-US" sz="900" b="1"/>
                      <a:t>人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24.73%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人力资源数据!$K$51:$N$51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人力资源数据!$K$52:$N$52</c:f>
              <c:numCache>
                <c:formatCode>0.00%</c:formatCode>
                <c:ptCount val="4"/>
                <c:pt idx="0">
                  <c:v>0.25239923224568139</c:v>
                </c:pt>
                <c:pt idx="1">
                  <c:v>0.28844103220302825</c:v>
                </c:pt>
                <c:pt idx="2">
                  <c:v>0.21187886542972914</c:v>
                </c:pt>
                <c:pt idx="3">
                  <c:v>0.24728087012156141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年行业企业拥有专有技术及专利技术总量示图</a:t>
            </a:r>
            <a:endParaRPr lang="en-US" sz="1200">
              <a:solidFill>
                <a:srgbClr val="FF0000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0.27593032462391126"/>
          <c:y val="0.23135742900558467"/>
          <c:w val="0.72406967537609912"/>
          <c:h val="0.42965533913523984"/>
        </c:manualLayout>
      </c:layout>
      <c:lineChart>
        <c:grouping val="standard"/>
        <c:ser>
          <c:idx val="0"/>
          <c:order val="0"/>
          <c:tx>
            <c:strRef>
              <c:f>技术指标分析!$L$2</c:f>
              <c:strCache>
                <c:ptCount val="1"/>
                <c:pt idx="0">
                  <c:v>专利技术总量（项）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dLbls>
            <c:dLbl>
              <c:idx val="0"/>
              <c:layout>
                <c:manualLayout>
                  <c:x val="-4.3917435221783124E-2"/>
                  <c:y val="-3.2909327599111159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4.8309178743961352E-2"/>
                  <c:y val="-3.290932759911121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5.2701095169427926E-2"/>
                  <c:y val="-3.012048192771078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8309178743961352E-2"/>
                  <c:y val="-2.6773761713521298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>
                    <a:solidFill>
                      <a:srgbClr val="0070C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技术指标分析!$M$2:$P$2</c:f>
              <c:numCache>
                <c:formatCode>General</c:formatCode>
                <c:ptCount val="4"/>
                <c:pt idx="0">
                  <c:v>1380</c:v>
                </c:pt>
                <c:pt idx="1">
                  <c:v>1909</c:v>
                </c:pt>
                <c:pt idx="2">
                  <c:v>3084</c:v>
                </c:pt>
                <c:pt idx="3">
                  <c:v>4274</c:v>
                </c:pt>
              </c:numCache>
            </c:numRef>
          </c:val>
        </c:ser>
        <c:ser>
          <c:idx val="1"/>
          <c:order val="1"/>
          <c:tx>
            <c:strRef>
              <c:f>技术指标分析!$L$3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技术指标分析!$M$3:$P$3</c:f>
            </c:numRef>
          </c:val>
        </c:ser>
        <c:ser>
          <c:idx val="2"/>
          <c:order val="2"/>
          <c:tx>
            <c:strRef>
              <c:f>技术指标分析!$L$4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技术指标分析!$M$4:$P$4</c:f>
            </c:numRef>
          </c:val>
        </c:ser>
        <c:ser>
          <c:idx val="3"/>
          <c:order val="3"/>
          <c:tx>
            <c:strRef>
              <c:f>技术指标分析!$L$5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技术指标分析!$M$5:$P$5</c:f>
            </c:numRef>
          </c:val>
        </c:ser>
        <c:ser>
          <c:idx val="4"/>
          <c:order val="4"/>
          <c:tx>
            <c:strRef>
              <c:f>技术指标分析!$L$6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技术指标分析!$M$6:$P$6</c:f>
            </c:numRef>
          </c:val>
        </c:ser>
        <c:ser>
          <c:idx val="5"/>
          <c:order val="5"/>
          <c:tx>
            <c:strRef>
              <c:f>技术指标分析!$L$7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技术指标分析!$M$7:$P$7</c:f>
            </c:numRef>
          </c:val>
        </c:ser>
        <c:ser>
          <c:idx val="6"/>
          <c:order val="6"/>
          <c:tx>
            <c:strRef>
              <c:f>技术指标分析!$L$8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技术指标分析!$M$8:$P$8</c:f>
            </c:numRef>
          </c:val>
        </c:ser>
        <c:ser>
          <c:idx val="7"/>
          <c:order val="7"/>
          <c:tx>
            <c:strRef>
              <c:f>技术指标分析!$L$9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技术指标分析!$M$9:$P$9</c:f>
            </c:numRef>
          </c:val>
        </c:ser>
        <c:ser>
          <c:idx val="8"/>
          <c:order val="8"/>
          <c:tx>
            <c:strRef>
              <c:f>技术指标分析!$L$10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技术指标分析!$M$10:$P$10</c:f>
            </c:numRef>
          </c:val>
        </c:ser>
        <c:ser>
          <c:idx val="9"/>
          <c:order val="9"/>
          <c:tx>
            <c:strRef>
              <c:f>技术指标分析!$L$11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技术指标分析!$M$11:$P$11</c:f>
            </c:numRef>
          </c:val>
        </c:ser>
        <c:ser>
          <c:idx val="10"/>
          <c:order val="10"/>
          <c:tx>
            <c:strRef>
              <c:f>技术指标分析!$L$12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技术指标分析!$M$12:$P$12</c:f>
            </c:numRef>
          </c:val>
        </c:ser>
        <c:ser>
          <c:idx val="11"/>
          <c:order val="11"/>
          <c:tx>
            <c:strRef>
              <c:f>技术指标分析!$L$13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技术指标分析!$M$13:$P$13</c:f>
            </c:numRef>
          </c:val>
        </c:ser>
        <c:ser>
          <c:idx val="12"/>
          <c:order val="12"/>
          <c:tx>
            <c:strRef>
              <c:f>技术指标分析!$L$14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技术指标分析!$M$14:$P$14</c:f>
            </c:numRef>
          </c:val>
        </c:ser>
        <c:ser>
          <c:idx val="13"/>
          <c:order val="13"/>
          <c:tx>
            <c:strRef>
              <c:f>技术指标分析!$L$15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技术指标分析!$M$15:$P$15</c:f>
            </c:numRef>
          </c:val>
        </c:ser>
        <c:ser>
          <c:idx val="14"/>
          <c:order val="14"/>
          <c:tx>
            <c:strRef>
              <c:f>技术指标分析!$L$16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技术指标分析!$M$16:$P$16</c:f>
            </c:numRef>
          </c:val>
        </c:ser>
        <c:ser>
          <c:idx val="15"/>
          <c:order val="15"/>
          <c:tx>
            <c:strRef>
              <c:f>技术指标分析!$L$17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技术指标分析!$M$17:$P$17</c:f>
            </c:numRef>
          </c:val>
        </c:ser>
        <c:ser>
          <c:idx val="16"/>
          <c:order val="16"/>
          <c:tx>
            <c:strRef>
              <c:f>技术指标分析!$L$18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技术指标分析!$M$18:$P$18</c:f>
            </c:numRef>
          </c:val>
        </c:ser>
        <c:ser>
          <c:idx val="17"/>
          <c:order val="17"/>
          <c:tx>
            <c:strRef>
              <c:f>技术指标分析!$L$19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技术指标分析!$M$19:$P$19</c:f>
            </c:numRef>
          </c:val>
        </c:ser>
        <c:ser>
          <c:idx val="18"/>
          <c:order val="18"/>
          <c:tx>
            <c:strRef>
              <c:f>技术指标分析!$L$20</c:f>
              <c:strCache>
                <c:ptCount val="1"/>
              </c:strCache>
            </c:strRef>
          </c:tx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技术指标分析!$M$20:$P$20</c:f>
            </c:numRef>
          </c:val>
        </c:ser>
        <c:ser>
          <c:idx val="19"/>
          <c:order val="19"/>
          <c:tx>
            <c:strRef>
              <c:f>技术指标分析!$L$21</c:f>
              <c:strCache>
                <c:ptCount val="1"/>
                <c:pt idx="0">
                  <c:v>有专有技术总量（项）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pPr>
              <a:solidFill>
                <a:schemeClr val="accent1"/>
              </a:solidFill>
            </c:spPr>
          </c:marker>
          <c:dLbls>
            <c:dLbl>
              <c:idx val="0"/>
              <c:layout>
                <c:manualLayout>
                  <c:x val="-4.1721563460693847E-2"/>
                  <c:y val="-4.010477605961908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8546332894159081E-2"/>
                  <c:y val="-6.9444444444444503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0742204655248209E-2"/>
                  <c:y val="-5.555555555555545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9525691699604744E-2"/>
                  <c:y val="-3.703703703703729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>
                    <a:solidFill>
                      <a:srgbClr val="FF00FF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技术指标分析!$M$1:$P$1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技术指标分析!$M$21:$P$21</c:f>
              <c:numCache>
                <c:formatCode>General</c:formatCode>
                <c:ptCount val="4"/>
                <c:pt idx="0">
                  <c:v>257</c:v>
                </c:pt>
                <c:pt idx="1">
                  <c:v>338</c:v>
                </c:pt>
                <c:pt idx="2">
                  <c:v>317</c:v>
                </c:pt>
                <c:pt idx="3">
                  <c:v>460</c:v>
                </c:pt>
              </c:numCache>
            </c:numRef>
          </c:val>
        </c:ser>
        <c:marker val="1"/>
        <c:axId val="287714688"/>
        <c:axId val="287749248"/>
      </c:lineChart>
      <c:catAx>
        <c:axId val="287714688"/>
        <c:scaling>
          <c:orientation val="minMax"/>
        </c:scaling>
        <c:axPos val="b"/>
        <c:numFmt formatCode="General" sourceLinked="1"/>
        <c:majorTickMark val="none"/>
        <c:tickLblPos val="nextTo"/>
        <c:crossAx val="287749248"/>
        <c:crosses val="autoZero"/>
        <c:auto val="1"/>
        <c:lblAlgn val="ctr"/>
        <c:lblOffset val="100"/>
      </c:catAx>
      <c:valAx>
        <c:axId val="2877492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2877146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 b="1">
          <a:solidFill>
            <a:srgbClr val="00B050"/>
          </a:solidFill>
        </a:defRPr>
      </a:pPr>
      <a:endParaRPr lang="zh-CN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/>
            </a:pPr>
            <a:r>
              <a:rPr lang="en-US" altLang="zh-CN" sz="1200">
                <a:solidFill>
                  <a:srgbClr val="FF0000"/>
                </a:solidFill>
              </a:rPr>
              <a:t>2015</a:t>
            </a:r>
            <a:r>
              <a:rPr lang="zh-CN" altLang="en-US" sz="1200">
                <a:solidFill>
                  <a:srgbClr val="FF0000"/>
                </a:solidFill>
              </a:rPr>
              <a:t>年行业 拥有专利技术项数中各企业集团构成情况</a:t>
            </a:r>
          </a:p>
        </c:rich>
      </c:tx>
      <c:layout>
        <c:manualLayout>
          <c:xMode val="edge"/>
          <c:yMode val="edge"/>
          <c:x val="0.14100314341238532"/>
          <c:y val="3.1847133757962012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8017366192057635"/>
          <c:y val="0.27851279736530316"/>
          <c:w val="0.7143031070231266"/>
          <c:h val="0.69355826938830101"/>
        </c:manualLayout>
      </c:layout>
      <c:pie3DChart>
        <c:varyColors val="1"/>
        <c:ser>
          <c:idx val="0"/>
          <c:order val="0"/>
          <c:explosion val="28"/>
          <c:dPt>
            <c:idx val="1"/>
            <c:explosion val="4"/>
          </c:dPt>
          <c:dLbls>
            <c:dLbl>
              <c:idx val="0"/>
              <c:layout>
                <c:manualLayout>
                  <c:x val="-3.4414945919371012E-2"/>
                  <c:y val="-0.1273885350318471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
</a:t>
                    </a:r>
                    <a:r>
                      <a:rPr lang="en-US" altLang="zh-CN" sz="900" b="1"/>
                      <a:t>1919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 
44.90%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1"/>
              <c:layout>
                <c:manualLayout>
                  <c:x val="-2.154375748996698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981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22.95%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439</a:t>
                    </a:r>
                    <a:r>
                      <a:rPr lang="zh-CN" altLang="en-US" sz="900" b="1"/>
                      <a:t>项；</a:t>
                    </a:r>
                    <a:r>
                      <a:rPr lang="en-US" altLang="zh-CN" sz="900" b="1"/>
                      <a:t>
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10.27%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3"/>
              <c:layout>
                <c:manualLayout>
                  <c:x val="-9.0403995721168168E-2"/>
                  <c:y val="1.061571125265392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
</a:t>
                    </a:r>
                    <a:r>
                      <a:rPr lang="en-US" altLang="zh-CN" sz="900" b="1"/>
                      <a:t>935</a:t>
                    </a:r>
                    <a:r>
                      <a:rPr lang="zh-CN" altLang="en-US" sz="900" b="1"/>
                      <a:t>项</a:t>
                    </a:r>
                    <a:r>
                      <a:rPr lang="en-US" altLang="zh-CN" sz="900" b="1"/>
                      <a:t> </a:t>
                    </a:r>
                    <a:r>
                      <a:rPr lang="zh-CN" altLang="en-US" sz="900" b="1"/>
                      <a:t>；</a:t>
                    </a:r>
                    <a:r>
                      <a:rPr lang="en-US" altLang="zh-CN" sz="900" b="1"/>
                      <a:t>
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21.88%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Val val="1"/>
            <c:showCatName val="1"/>
            <c:showPercent val="1"/>
          </c:dLbls>
          <c:cat>
            <c:strRef>
              <c:f>技术指标分析!$N$40:$Q$40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技术指标分析!$N$41:$Q$41</c:f>
              <c:numCache>
                <c:formatCode>0.00_);[Red]\(0.00\)</c:formatCode>
                <c:ptCount val="4"/>
                <c:pt idx="0">
                  <c:v>1919</c:v>
                </c:pt>
                <c:pt idx="1">
                  <c:v>981</c:v>
                </c:pt>
                <c:pt idx="2">
                  <c:v>439</c:v>
                </c:pt>
                <c:pt idx="3">
                  <c:v>935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/>
            </a:pPr>
            <a:r>
              <a:rPr lang="en-US" altLang="zh-CN" sz="1200">
                <a:solidFill>
                  <a:srgbClr val="FF0000"/>
                </a:solidFill>
              </a:rPr>
              <a:t>2015</a:t>
            </a:r>
            <a:r>
              <a:rPr lang="zh-CN" altLang="en-US" sz="1200">
                <a:solidFill>
                  <a:srgbClr val="FF0000"/>
                </a:solidFill>
              </a:rPr>
              <a:t>年行业拥有专有技术项数中各企业集团构成情况</a:t>
            </a:r>
          </a:p>
        </c:rich>
      </c:tx>
      <c:layout>
        <c:manualLayout>
          <c:xMode val="edge"/>
          <c:yMode val="edge"/>
          <c:x val="8.698600174978123E-2"/>
          <c:y val="3.2407407407407919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305555555555757E-2"/>
          <c:y val="0.32899278215223654"/>
          <c:w val="0.8138888888888951"/>
          <c:h val="0.589236657917750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
</a:t>
                    </a:r>
                    <a:r>
                      <a:rPr lang="en-US" altLang="zh-CN" sz="900" b="1"/>
                      <a:t>107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23.26%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
</a:t>
                    </a:r>
                    <a:r>
                      <a:rPr lang="en-US" altLang="zh-CN" sz="900" b="1"/>
                      <a:t>127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27.61%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
</a:t>
                    </a:r>
                    <a:r>
                      <a:rPr lang="en-US" altLang="zh-CN" sz="900" b="1"/>
                      <a:t>106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23.04%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
</a:t>
                    </a:r>
                    <a:r>
                      <a:rPr lang="en-US" altLang="zh-CN" sz="900" b="1"/>
                      <a:t>120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26.09%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Val val="1"/>
            <c:showCatName val="1"/>
            <c:showPercent val="1"/>
          </c:dLbls>
          <c:cat>
            <c:strRef>
              <c:f>技术指标分析!$N$58:$Q$58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技术指标分析!$N$59:$Q$59</c:f>
              <c:numCache>
                <c:formatCode>0_ </c:formatCode>
                <c:ptCount val="4"/>
                <c:pt idx="0">
                  <c:v>107</c:v>
                </c:pt>
                <c:pt idx="1">
                  <c:v>127</c:v>
                </c:pt>
                <c:pt idx="2">
                  <c:v>106</c:v>
                </c:pt>
                <c:pt idx="3">
                  <c:v>120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年以来行业企业获得的国家级及省部级奖项</a:t>
            </a:r>
          </a:p>
        </c:rich>
      </c:tx>
      <c:layout>
        <c:manualLayout>
          <c:xMode val="edge"/>
          <c:yMode val="edge"/>
          <c:x val="0.31278915806022334"/>
          <c:y val="2.3326521207749727E-3"/>
        </c:manualLayout>
      </c:layout>
    </c:title>
    <c:plotArea>
      <c:layout>
        <c:manualLayout>
          <c:layoutTarget val="inner"/>
          <c:xMode val="edge"/>
          <c:yMode val="edge"/>
          <c:x val="0.23260962111536823"/>
          <c:y val="0.18175051591833463"/>
          <c:w val="0.77206189878711862"/>
          <c:h val="0.47408687463685995"/>
        </c:manualLayout>
      </c:layout>
      <c:lineChart>
        <c:grouping val="standard"/>
        <c:ser>
          <c:idx val="0"/>
          <c:order val="0"/>
          <c:tx>
            <c:strRef>
              <c:f>技术指标分析!$B$61</c:f>
              <c:strCache>
                <c:ptCount val="1"/>
                <c:pt idx="0">
                  <c:v>国家级奖项总计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技术指标分析!$C$60:$G$60</c:f>
              <c:strCache>
                <c:ptCount val="5"/>
                <c:pt idx="1">
                  <c:v>2012年</c:v>
                </c:pt>
                <c:pt idx="2">
                  <c:v>2013年</c:v>
                </c:pt>
                <c:pt idx="3">
                  <c:v>2014年</c:v>
                </c:pt>
                <c:pt idx="4">
                  <c:v>2015年</c:v>
                </c:pt>
              </c:strCache>
            </c:strRef>
          </c:cat>
          <c:val>
            <c:numRef>
              <c:f>技术指标分析!$C$61:$G$61</c:f>
              <c:numCache>
                <c:formatCode>General</c:formatCode>
                <c:ptCount val="5"/>
                <c:pt idx="1">
                  <c:v>46</c:v>
                </c:pt>
                <c:pt idx="2">
                  <c:v>49</c:v>
                </c:pt>
                <c:pt idx="3">
                  <c:v>23</c:v>
                </c:pt>
                <c:pt idx="4">
                  <c:v>91</c:v>
                </c:pt>
              </c:numCache>
            </c:numRef>
          </c:val>
        </c:ser>
        <c:ser>
          <c:idx val="1"/>
          <c:order val="1"/>
          <c:tx>
            <c:strRef>
              <c:f>技术指标分析!$B$62</c:f>
              <c:strCache>
                <c:ptCount val="1"/>
                <c:pt idx="0">
                  <c:v>省部级奖项总计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技术指标分析!$C$60:$G$60</c:f>
              <c:strCache>
                <c:ptCount val="5"/>
                <c:pt idx="1">
                  <c:v>2012年</c:v>
                </c:pt>
                <c:pt idx="2">
                  <c:v>2013年</c:v>
                </c:pt>
                <c:pt idx="3">
                  <c:v>2014年</c:v>
                </c:pt>
                <c:pt idx="4">
                  <c:v>2015年</c:v>
                </c:pt>
              </c:strCache>
            </c:strRef>
          </c:cat>
          <c:val>
            <c:numRef>
              <c:f>技术指标分析!$C$62:$G$62</c:f>
              <c:numCache>
                <c:formatCode>General</c:formatCode>
                <c:ptCount val="5"/>
                <c:pt idx="1">
                  <c:v>985</c:v>
                </c:pt>
                <c:pt idx="2">
                  <c:v>767</c:v>
                </c:pt>
                <c:pt idx="3">
                  <c:v>1102</c:v>
                </c:pt>
                <c:pt idx="4">
                  <c:v>817</c:v>
                </c:pt>
              </c:numCache>
            </c:numRef>
          </c:val>
        </c:ser>
        <c:dLbls>
          <c:showVal val="1"/>
        </c:dLbls>
        <c:marker val="1"/>
        <c:axId val="287865472"/>
        <c:axId val="287875456"/>
      </c:lineChart>
      <c:catAx>
        <c:axId val="287865472"/>
        <c:scaling>
          <c:orientation val="minMax"/>
        </c:scaling>
        <c:axPos val="b"/>
        <c:majorTickMark val="none"/>
        <c:tickLblPos val="nextTo"/>
        <c:crossAx val="287875456"/>
        <c:crosses val="autoZero"/>
        <c:auto val="1"/>
        <c:lblAlgn val="ctr"/>
        <c:lblOffset val="100"/>
      </c:catAx>
      <c:valAx>
        <c:axId val="2878754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78654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400">
                <a:solidFill>
                  <a:srgbClr val="FF0000"/>
                </a:solidFill>
              </a:defRPr>
            </a:pPr>
            <a:r>
              <a:rPr lang="en-US" altLang="en-US" sz="1400">
                <a:solidFill>
                  <a:srgbClr val="FF0000"/>
                </a:solidFill>
              </a:rPr>
              <a:t>2012</a:t>
            </a:r>
            <a:r>
              <a:rPr lang="zh-CN" altLang="en-US" sz="1400">
                <a:solidFill>
                  <a:srgbClr val="FF0000"/>
                </a:solidFill>
              </a:rPr>
              <a:t>年以来各企业集团拥有总资产发展情况</a:t>
            </a:r>
            <a:endParaRPr lang="en-US" altLang="en-US" sz="1400">
              <a:solidFill>
                <a:srgbClr val="FF0000"/>
              </a:solidFill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5382865381958835"/>
          <c:y val="0.14492248468941502"/>
          <c:w val="0.86343043468251202"/>
          <c:h val="0.41006404199475338"/>
        </c:manualLayout>
      </c:layout>
      <c:lineChart>
        <c:grouping val="standard"/>
        <c:ser>
          <c:idx val="0"/>
          <c:order val="0"/>
          <c:tx>
            <c:strRef>
              <c:f>企业规模指标!$H$63</c:f>
              <c:strCache>
                <c:ptCount val="1"/>
                <c:pt idx="0">
                  <c:v>中电工程</c:v>
                </c:pt>
              </c:strCache>
            </c:strRef>
          </c:tx>
          <c:dLbls>
            <c:dLbl>
              <c:idx val="0"/>
              <c:layout>
                <c:manualLayout>
                  <c:x val="-4.5687134502923984E-2"/>
                  <c:y val="-4.031537536363255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377192982456211E-2"/>
                  <c:y val="-4.1844557804992209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3.6549707602339519E-2"/>
                  <c:y val="-3.8082626804832237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549707602339519E-2"/>
                  <c:y val="-3.3774451857639935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企业规模指标!$I$62:$L$62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企业规模指标!$I$63:$L$63</c:f>
              <c:numCache>
                <c:formatCode>0.00_);[Red]\(0.00\)</c:formatCode>
                <c:ptCount val="4"/>
                <c:pt idx="0">
                  <c:v>159.19999999999999</c:v>
                </c:pt>
                <c:pt idx="1">
                  <c:v>195.99</c:v>
                </c:pt>
                <c:pt idx="2">
                  <c:v>226.66</c:v>
                </c:pt>
                <c:pt idx="3">
                  <c:v>264.83</c:v>
                </c:pt>
              </c:numCache>
            </c:numRef>
          </c:val>
        </c:ser>
        <c:ser>
          <c:idx val="1"/>
          <c:order val="1"/>
          <c:tx>
            <c:strRef>
              <c:f>企业规模指标!$H$64</c:f>
              <c:strCache>
                <c:ptCount val="1"/>
                <c:pt idx="0">
                  <c:v>中能建集团</c:v>
                </c:pt>
              </c:strCache>
            </c:strRef>
          </c:tx>
          <c:dLbls>
            <c:dLbl>
              <c:idx val="0"/>
              <c:layout>
                <c:manualLayout>
                  <c:x val="-6.5789473684210523E-2"/>
                  <c:y val="4.196642685851412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9239766081871673E-2"/>
                  <c:y val="6.594724220623507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204678362573076E-2"/>
                  <c:y val="5.3956834532374098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549707602339519E-2"/>
                  <c:y val="4.678694743309758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企业规模指标!$I$62:$L$62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企业规模指标!$I$64:$L$64</c:f>
              <c:numCache>
                <c:formatCode>0.00_);[Red]\(0.00\)</c:formatCode>
                <c:ptCount val="4"/>
                <c:pt idx="0">
                  <c:v>105.14999999999999</c:v>
                </c:pt>
                <c:pt idx="1">
                  <c:v>149.75</c:v>
                </c:pt>
                <c:pt idx="2">
                  <c:v>170.46</c:v>
                </c:pt>
                <c:pt idx="3">
                  <c:v>219.65</c:v>
                </c:pt>
              </c:numCache>
            </c:numRef>
          </c:val>
        </c:ser>
        <c:ser>
          <c:idx val="2"/>
          <c:order val="2"/>
          <c:tx>
            <c:strRef>
              <c:f>企业规模指标!$H$65</c:f>
              <c:strCache>
                <c:ptCount val="1"/>
                <c:pt idx="0">
                  <c:v>中电建集团</c:v>
                </c:pt>
              </c:strCache>
            </c:strRef>
          </c:tx>
          <c:spPr>
            <a:ln>
              <a:solidFill>
                <a:srgbClr val="FF5050"/>
              </a:solidFill>
            </a:ln>
          </c:spPr>
          <c:marker>
            <c:spPr>
              <a:solidFill>
                <a:srgbClr val="FF5050"/>
              </a:solidFill>
            </c:spPr>
          </c:marker>
          <c:dLbls>
            <c:dLbl>
              <c:idx val="0"/>
              <c:layout>
                <c:manualLayout>
                  <c:x val="-3.1067251461988302E-2"/>
                  <c:y val="3.3616537210501056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067251461988302E-2"/>
                  <c:y val="4.337344400798653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9239766081871673E-2"/>
                  <c:y val="4.783982984068350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6549707602339519E-2"/>
                  <c:y val="5.2492436537037106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FF505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企业规模指标!$I$62:$L$62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企业规模指标!$I$65:$L$65</c:f>
              <c:numCache>
                <c:formatCode>0.00_);[Red]\(0.00\)</c:formatCode>
                <c:ptCount val="4"/>
                <c:pt idx="0">
                  <c:v>61.21</c:v>
                </c:pt>
                <c:pt idx="1">
                  <c:v>80.47</c:v>
                </c:pt>
                <c:pt idx="2">
                  <c:v>99.13</c:v>
                </c:pt>
                <c:pt idx="3">
                  <c:v>134.99</c:v>
                </c:pt>
              </c:numCache>
            </c:numRef>
          </c:val>
        </c:ser>
        <c:ser>
          <c:idx val="3"/>
          <c:order val="3"/>
          <c:tx>
            <c:strRef>
              <c:f>企业规模指标!$H$66</c:f>
              <c:strCache>
                <c:ptCount val="1"/>
                <c:pt idx="0">
                  <c:v>其他企业</c:v>
                </c:pt>
              </c:strCache>
            </c:strRef>
          </c:tx>
          <c:dLbls>
            <c:dLbl>
              <c:idx val="0"/>
              <c:layout>
                <c:manualLayout>
                  <c:x val="-6.9444444444444503E-2"/>
                  <c:y val="2.99760191846523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5.4824561403508934E-3"/>
                  <c:y val="9.6357453061031266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3859649122807015E-2"/>
                  <c:y val="2.398081534772182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0"/>
                  <c:y val="-2.5445292620865617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7030A0"/>
                    </a:solidFill>
                  </a:defRPr>
                </a:pPr>
                <a:endParaRPr lang="zh-CN"/>
              </a:p>
            </c:txPr>
            <c:showVal val="1"/>
          </c:dLbls>
          <c:cat>
            <c:strRef>
              <c:f>企业规模指标!$I$62:$L$62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企业规模指标!$I$66:$L$66</c:f>
              <c:numCache>
                <c:formatCode>0.00_);[Red]\(0.00\)</c:formatCode>
                <c:ptCount val="4"/>
                <c:pt idx="0">
                  <c:v>146.93</c:v>
                </c:pt>
                <c:pt idx="1">
                  <c:v>181.34</c:v>
                </c:pt>
                <c:pt idx="2">
                  <c:v>218.63</c:v>
                </c:pt>
                <c:pt idx="3">
                  <c:v>222.83</c:v>
                </c:pt>
              </c:numCache>
            </c:numRef>
          </c:val>
        </c:ser>
        <c:marker val="1"/>
        <c:axId val="285977216"/>
        <c:axId val="286003584"/>
      </c:lineChart>
      <c:catAx>
        <c:axId val="2859772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6003584"/>
        <c:crosses val="autoZero"/>
        <c:auto val="1"/>
        <c:lblAlgn val="ctr"/>
        <c:lblOffset val="100"/>
      </c:catAx>
      <c:valAx>
        <c:axId val="286003584"/>
        <c:scaling>
          <c:orientation val="minMax"/>
        </c:scaling>
        <c:axPos val="l"/>
        <c:majorGridlines/>
        <c:numFmt formatCode="0.00_);[Red]\(0.00\)" sourceLinked="1"/>
        <c:tickLblPos val="nextTo"/>
        <c:txPr>
          <a:bodyPr/>
          <a:lstStyle/>
          <a:p>
            <a:pPr>
              <a:defRPr b="1">
                <a:solidFill>
                  <a:srgbClr val="00B050"/>
                </a:solidFill>
              </a:defRPr>
            </a:pPr>
            <a:endParaRPr lang="zh-CN"/>
          </a:p>
        </c:txPr>
        <c:crossAx val="2859772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年以来行业获得国家级奖项中各企业集团构成情况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0044495313742505"/>
          <c:y val="0.3472767877699568"/>
          <c:w val="0.81078551695924173"/>
          <c:h val="0.54059262329050972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
</a:t>
                    </a:r>
                    <a:r>
                      <a:rPr lang="en-US" altLang="zh-CN" sz="900" b="1"/>
                      <a:t>107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51.20%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1"/>
              <c:layout>
                <c:manualLayout>
                  <c:x val="-3.9800995024876162E-2"/>
                  <c:y val="-3.5087719298245515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中国能建集团</a:t>
                    </a:r>
                    <a:r>
                      <a:rPr lang="en-US" altLang="zh-CN"/>
                      <a:t>45</a:t>
                    </a:r>
                    <a:r>
                      <a:rPr lang="zh-CN" altLang="en-US"/>
                      <a:t>项，占</a:t>
                    </a:r>
                    <a:r>
                      <a:rPr lang="en-US" altLang="zh-CN"/>
                      <a:t> 21.53%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18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8.61%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
</a:t>
                    </a:r>
                    <a:r>
                      <a:rPr lang="en-US" altLang="zh-CN" sz="900" b="1"/>
                      <a:t>39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 
18.66%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Val val="1"/>
            <c:showCatName val="1"/>
            <c:showPercent val="1"/>
          </c:dLbls>
          <c:cat>
            <c:strRef>
              <c:f>技术指标分析!$C$84:$F$84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技术指标分析!$C$85:$F$85</c:f>
              <c:numCache>
                <c:formatCode>0_ </c:formatCode>
                <c:ptCount val="4"/>
                <c:pt idx="0">
                  <c:v>107</c:v>
                </c:pt>
                <c:pt idx="1">
                  <c:v>45</c:v>
                </c:pt>
                <c:pt idx="2">
                  <c:v>18</c:v>
                </c:pt>
                <c:pt idx="3">
                  <c:v>39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年以来行业获得省部级奖项中各企业集团构成情况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
</a:t>
                    </a:r>
                    <a:r>
                      <a:rPr lang="en-US" altLang="zh-CN" sz="900" b="1"/>
                      <a:t>975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26.56%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
</a:t>
                    </a:r>
                    <a:r>
                      <a:rPr lang="en-US" altLang="zh-CN" sz="900" b="1"/>
                      <a:t>1055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28.74%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
</a:t>
                    </a:r>
                    <a:r>
                      <a:rPr lang="en-US" altLang="zh-CN" sz="900" b="1"/>
                      <a:t>767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20.89%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
</a:t>
                    </a:r>
                    <a:r>
                      <a:rPr lang="en-US" altLang="zh-CN" sz="900" b="1"/>
                      <a:t>874 </a:t>
                    </a:r>
                    <a:r>
                      <a:rPr lang="zh-CN" altLang="en-US" sz="900" b="1"/>
                      <a:t>项；占</a:t>
                    </a:r>
                    <a:r>
                      <a:rPr lang="en-US" altLang="zh-CN" sz="900" b="1"/>
                      <a:t>
23.81%</a:t>
                    </a:r>
                  </a:p>
                </c:rich>
              </c:tx>
              <c:dLblPos val="outEnd"/>
              <c:showVal val="1"/>
              <c:showCatName val="1"/>
              <c:showPercent val="1"/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Val val="1"/>
            <c:showCatName val="1"/>
            <c:showPercent val="1"/>
          </c:dLbls>
          <c:cat>
            <c:strRef>
              <c:f>技术指标分析!$C$103:$F$103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技术指标分析!$C$104:$F$104</c:f>
              <c:numCache>
                <c:formatCode>0_ </c:formatCode>
                <c:ptCount val="4"/>
                <c:pt idx="0">
                  <c:v>975</c:v>
                </c:pt>
                <c:pt idx="1">
                  <c:v>1055</c:v>
                </c:pt>
                <c:pt idx="2">
                  <c:v>767</c:v>
                </c:pt>
                <c:pt idx="3">
                  <c:v>874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5.8497748022461084E-2"/>
          <c:y val="7.4120431477857199E-2"/>
          <c:w val="0.89729843116791408"/>
          <c:h val="0.57420205422299098"/>
        </c:manualLayout>
      </c:layout>
      <c:bar3DChart>
        <c:barDir val="col"/>
        <c:grouping val="clustered"/>
        <c:ser>
          <c:idx val="0"/>
          <c:order val="0"/>
          <c:tx>
            <c:strRef>
              <c:f>图表!$A$4</c:f>
              <c:strCache>
                <c:ptCount val="1"/>
                <c:pt idx="0">
                  <c:v>2015年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zh-CN"/>
              </a:p>
            </c:txPr>
            <c:showVal val="1"/>
          </c:dLbls>
          <c:cat>
            <c:strRef>
              <c:f>图表!$B$3:$I$3</c:f>
              <c:strCache>
                <c:ptCount val="8"/>
                <c:pt idx="0">
                  <c:v>期末职工总数（千人）</c:v>
                </c:pt>
                <c:pt idx="1">
                  <c:v>拥有资产总额（亿元）</c:v>
                </c:pt>
                <c:pt idx="2">
                  <c:v>新签合同总额（亿元）</c:v>
                </c:pt>
                <c:pt idx="3">
                  <c:v>新签总承包合同额（亿元）</c:v>
                </c:pt>
                <c:pt idx="4">
                  <c:v>营业收入（亿元）</c:v>
                </c:pt>
                <c:pt idx="5">
                  <c:v>总承包收入（亿元）</c:v>
                </c:pt>
                <c:pt idx="6">
                  <c:v>实现利润总额（亿元）</c:v>
                </c:pt>
                <c:pt idx="7">
                  <c:v>经济增加值（亿元）</c:v>
                </c:pt>
              </c:strCache>
            </c:strRef>
          </c:cat>
          <c:val>
            <c:numRef>
              <c:f>图表!$B$4:$I$4</c:f>
              <c:numCache>
                <c:formatCode>0.00_ </c:formatCode>
                <c:ptCount val="8"/>
                <c:pt idx="0" formatCode="0.000_ ">
                  <c:v>33.509</c:v>
                </c:pt>
                <c:pt idx="1">
                  <c:v>842.3</c:v>
                </c:pt>
                <c:pt idx="2">
                  <c:v>1202.82</c:v>
                </c:pt>
                <c:pt idx="3">
                  <c:v>985.88</c:v>
                </c:pt>
                <c:pt idx="4">
                  <c:v>719.03</c:v>
                </c:pt>
                <c:pt idx="5">
                  <c:v>294.21349488197194</c:v>
                </c:pt>
                <c:pt idx="6">
                  <c:v>62.48</c:v>
                </c:pt>
                <c:pt idx="7">
                  <c:v>38.65</c:v>
                </c:pt>
              </c:numCache>
            </c:numRef>
          </c:val>
        </c:ser>
        <c:ser>
          <c:idx val="1"/>
          <c:order val="1"/>
          <c:tx>
            <c:strRef>
              <c:f>图表!$A$5</c:f>
              <c:strCache>
                <c:ptCount val="1"/>
                <c:pt idx="0">
                  <c:v>2014年</c:v>
                </c:pt>
              </c:strCache>
            </c:strRef>
          </c:tx>
          <c:dLbls>
            <c:dLbl>
              <c:idx val="0"/>
              <c:layout>
                <c:manualLayout>
                  <c:x val="1.8463567424991757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78239366963418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846356742499170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978239366963418E-2"/>
                  <c:y val="3.5323933617628876E-17"/>
                </c:manualLayout>
              </c:layout>
              <c:showVal val="1"/>
            </c:dLbl>
            <c:dLbl>
              <c:idx val="4"/>
              <c:layout>
                <c:manualLayout>
                  <c:x val="2.5057698648203279E-2"/>
                  <c:y val="-3.8535645472062047E-3"/>
                </c:manualLayout>
              </c:layout>
              <c:showVal val="1"/>
            </c:dLbl>
            <c:dLbl>
              <c:idx val="5"/>
              <c:layout>
                <c:manualLayout>
                  <c:x val="2.5057698648203279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1.7144741180349584E-2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2.5057698648203279E-2"/>
                  <c:y val="-1.15606936416186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zh-CN"/>
              </a:p>
            </c:txPr>
            <c:showVal val="1"/>
          </c:dLbls>
          <c:cat>
            <c:strRef>
              <c:f>图表!$B$3:$I$3</c:f>
              <c:strCache>
                <c:ptCount val="8"/>
                <c:pt idx="0">
                  <c:v>期末职工总数（千人）</c:v>
                </c:pt>
                <c:pt idx="1">
                  <c:v>拥有资产总额（亿元）</c:v>
                </c:pt>
                <c:pt idx="2">
                  <c:v>新签合同总额（亿元）</c:v>
                </c:pt>
                <c:pt idx="3">
                  <c:v>新签总承包合同额（亿元）</c:v>
                </c:pt>
                <c:pt idx="4">
                  <c:v>营业收入（亿元）</c:v>
                </c:pt>
                <c:pt idx="5">
                  <c:v>总承包收入（亿元）</c:v>
                </c:pt>
                <c:pt idx="6">
                  <c:v>实现利润总额（亿元）</c:v>
                </c:pt>
                <c:pt idx="7">
                  <c:v>经济增加值（亿元）</c:v>
                </c:pt>
              </c:strCache>
            </c:strRef>
          </c:cat>
          <c:val>
            <c:numRef>
              <c:f>图表!$B$5:$I$5</c:f>
              <c:numCache>
                <c:formatCode>0.00_ </c:formatCode>
                <c:ptCount val="8"/>
                <c:pt idx="0" formatCode="0.000_ ">
                  <c:v>33.128000000000213</c:v>
                </c:pt>
                <c:pt idx="1">
                  <c:v>714.88</c:v>
                </c:pt>
                <c:pt idx="2">
                  <c:v>1114.8799999999999</c:v>
                </c:pt>
                <c:pt idx="3">
                  <c:v>872.74</c:v>
                </c:pt>
                <c:pt idx="4">
                  <c:v>629.44999999999948</c:v>
                </c:pt>
                <c:pt idx="5">
                  <c:v>410.17</c:v>
                </c:pt>
                <c:pt idx="6">
                  <c:v>53.91</c:v>
                </c:pt>
                <c:pt idx="7">
                  <c:v>37.42</c:v>
                </c:pt>
              </c:numCache>
            </c:numRef>
          </c:val>
        </c:ser>
        <c:shape val="cylinder"/>
        <c:axId val="288000256"/>
        <c:axId val="288014336"/>
        <c:axId val="0"/>
      </c:bar3DChart>
      <c:catAx>
        <c:axId val="288000256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黑体"/>
                <a:ea typeface="黑体"/>
                <a:cs typeface="黑体"/>
              </a:defRPr>
            </a:pPr>
            <a:endParaRPr lang="zh-CN"/>
          </a:p>
        </c:txPr>
        <c:crossAx val="288014336"/>
        <c:crosses val="autoZero"/>
        <c:auto val="1"/>
        <c:lblAlgn val="ctr"/>
        <c:lblOffset val="100"/>
      </c:catAx>
      <c:valAx>
        <c:axId val="288014336"/>
        <c:scaling>
          <c:orientation val="minMax"/>
        </c:scaling>
        <c:axPos val="l"/>
        <c:majorGridlines/>
        <c:numFmt formatCode="0.000_ " sourceLinked="1"/>
        <c:tickLblPos val="nextTo"/>
        <c:crossAx val="2880002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141574976500558"/>
          <c:y val="6.3583904759619933E-2"/>
          <c:w val="9.2506979805202366E-2"/>
          <c:h val="0.19653206925700706"/>
        </c:manualLayout>
      </c:layout>
      <c:txPr>
        <a:bodyPr/>
        <a:lstStyle/>
        <a:p>
          <a:pPr>
            <a:defRPr sz="1200"/>
          </a:pPr>
          <a:endParaRPr lang="zh-CN"/>
        </a:p>
      </c:txPr>
    </c:legend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1568283119018225"/>
          <c:y val="4.8245794849363074E-2"/>
          <c:w val="0.79647637055756459"/>
          <c:h val="0.58552851021726438"/>
        </c:manualLayout>
      </c:layout>
      <c:bar3DChart>
        <c:barDir val="col"/>
        <c:grouping val="clustered"/>
        <c:ser>
          <c:idx val="0"/>
          <c:order val="0"/>
          <c:tx>
            <c:strRef>
              <c:f>图表!$A$29</c:f>
              <c:strCache>
                <c:ptCount val="1"/>
                <c:pt idx="0">
                  <c:v>2015年</c:v>
                </c:pt>
              </c:strCache>
            </c:strRef>
          </c:tx>
          <c:dLbls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图表!$B$28:$H$28</c:f>
              <c:strCache>
                <c:ptCount val="7"/>
                <c:pt idx="0">
                  <c:v>拥有资产总额（万元/人）</c:v>
                </c:pt>
                <c:pt idx="1">
                  <c:v>新签合同总额（万元/人）</c:v>
                </c:pt>
                <c:pt idx="2">
                  <c:v>总承包收入（万元/人）</c:v>
                </c:pt>
                <c:pt idx="3">
                  <c:v>营业收入（万元/人）</c:v>
                </c:pt>
                <c:pt idx="4">
                  <c:v>总承包收入（万元/人）</c:v>
                </c:pt>
                <c:pt idx="5">
                  <c:v>实现利润总额（万元/人）</c:v>
                </c:pt>
                <c:pt idx="6">
                  <c:v>经济增加值（万元/人）</c:v>
                </c:pt>
              </c:strCache>
            </c:strRef>
          </c:cat>
          <c:val>
            <c:numRef>
              <c:f>图表!$B$29:$H$29</c:f>
              <c:numCache>
                <c:formatCode>0.00_ </c:formatCode>
                <c:ptCount val="7"/>
                <c:pt idx="0">
                  <c:v>251.36530484347583</c:v>
                </c:pt>
                <c:pt idx="1">
                  <c:v>358.95431078217536</c:v>
                </c:pt>
                <c:pt idx="2">
                  <c:v>294.21349488197194</c:v>
                </c:pt>
                <c:pt idx="3">
                  <c:v>214.57817302814047</c:v>
                </c:pt>
                <c:pt idx="4">
                  <c:v>147.91846966486528</c:v>
                </c:pt>
                <c:pt idx="5">
                  <c:v>18.645736966188089</c:v>
                </c:pt>
                <c:pt idx="6">
                  <c:v>11.534214688591064</c:v>
                </c:pt>
              </c:numCache>
            </c:numRef>
          </c:val>
        </c:ser>
        <c:ser>
          <c:idx val="1"/>
          <c:order val="1"/>
          <c:tx>
            <c:strRef>
              <c:f>图表!$A$30</c:f>
              <c:strCache>
                <c:ptCount val="1"/>
                <c:pt idx="0">
                  <c:v>2014年</c:v>
                </c:pt>
              </c:strCache>
            </c:strRef>
          </c:tx>
          <c:dLbls>
            <c:dLbl>
              <c:idx val="0"/>
              <c:layout>
                <c:manualLayout>
                  <c:x val="1.8463567424991757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7823936696341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846356742499170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9782393669634187E-2"/>
                  <c:y val="3.5323933617628937E-17"/>
                </c:manualLayout>
              </c:layout>
              <c:showVal val="1"/>
            </c:dLbl>
            <c:dLbl>
              <c:idx val="4"/>
              <c:layout>
                <c:manualLayout>
                  <c:x val="2.5057698648203289E-2"/>
                  <c:y val="-3.8535645472062073E-3"/>
                </c:manualLayout>
              </c:layout>
              <c:showVal val="1"/>
            </c:dLbl>
            <c:dLbl>
              <c:idx val="5"/>
              <c:layout>
                <c:manualLayout>
                  <c:x val="2.5057698648203289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1.7144741180349584E-2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2.5057698648203289E-2"/>
                  <c:y val="-1.1560693641618639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</c:dLbls>
          <c:cat>
            <c:strRef>
              <c:f>图表!$B$28:$H$28</c:f>
              <c:strCache>
                <c:ptCount val="7"/>
                <c:pt idx="0">
                  <c:v>拥有资产总额（万元/人）</c:v>
                </c:pt>
                <c:pt idx="1">
                  <c:v>新签合同总额（万元/人）</c:v>
                </c:pt>
                <c:pt idx="2">
                  <c:v>总承包收入（万元/人）</c:v>
                </c:pt>
                <c:pt idx="3">
                  <c:v>营业收入（万元/人）</c:v>
                </c:pt>
                <c:pt idx="4">
                  <c:v>总承包收入（万元/人）</c:v>
                </c:pt>
                <c:pt idx="5">
                  <c:v>实现利润总额（万元/人）</c:v>
                </c:pt>
                <c:pt idx="6">
                  <c:v>经济增加值（万元/人）</c:v>
                </c:pt>
              </c:strCache>
            </c:strRef>
          </c:cat>
          <c:val>
            <c:numRef>
              <c:f>图表!$B$30:$H$30</c:f>
              <c:numCache>
                <c:formatCode>0.00_ </c:formatCode>
                <c:ptCount val="7"/>
                <c:pt idx="0">
                  <c:v>215.79328664573774</c:v>
                </c:pt>
                <c:pt idx="1">
                  <c:v>336.53706834098023</c:v>
                </c:pt>
                <c:pt idx="2">
                  <c:v>263.44482009176897</c:v>
                </c:pt>
                <c:pt idx="3">
                  <c:v>190.00543347017629</c:v>
                </c:pt>
                <c:pt idx="4">
                  <c:v>123.81369234484424</c:v>
                </c:pt>
                <c:pt idx="5">
                  <c:v>16.27324317797618</c:v>
                </c:pt>
                <c:pt idx="6">
                  <c:v>11.295580777590002</c:v>
                </c:pt>
              </c:numCache>
            </c:numRef>
          </c:val>
        </c:ser>
        <c:shape val="cylinder"/>
        <c:axId val="288121984"/>
        <c:axId val="288123520"/>
        <c:axId val="0"/>
      </c:bar3DChart>
      <c:catAx>
        <c:axId val="288121984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黑体"/>
                <a:ea typeface="黑体"/>
                <a:cs typeface="黑体"/>
              </a:defRPr>
            </a:pPr>
            <a:endParaRPr lang="zh-CN"/>
          </a:p>
        </c:txPr>
        <c:crossAx val="288123520"/>
        <c:crosses val="autoZero"/>
        <c:auto val="1"/>
        <c:lblAlgn val="ctr"/>
        <c:lblOffset val="100"/>
      </c:catAx>
      <c:valAx>
        <c:axId val="288123520"/>
        <c:scaling>
          <c:orientation val="minMax"/>
        </c:scaling>
        <c:axPos val="l"/>
        <c:majorGridlines/>
        <c:numFmt formatCode="0.00_ " sourceLinked="1"/>
        <c:tickLblPos val="nextTo"/>
        <c:crossAx val="2881219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771547057280374"/>
          <c:y val="6.0693727270546886E-2"/>
          <c:w val="9.2506979805202366E-2"/>
          <c:h val="0.19653206925700706"/>
        </c:manualLayout>
      </c:layout>
      <c:txPr>
        <a:bodyPr/>
        <a:lstStyle/>
        <a:p>
          <a:pPr>
            <a:defRPr sz="1200"/>
          </a:pPr>
          <a:endParaRPr lang="zh-CN"/>
        </a:p>
      </c:txPr>
    </c:legend>
    <c:plotVisOnly val="1"/>
    <c:dispBlanksAs val="gap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新签合同总额趋势分析</a:t>
            </a:r>
          </a:p>
        </c:rich>
      </c:tx>
      <c:layout>
        <c:manualLayout>
          <c:xMode val="edge"/>
          <c:yMode val="edge"/>
          <c:x val="0.32265020331578348"/>
          <c:y val="3.93013100436682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2222268592808062"/>
          <c:y val="0.24017518459842668"/>
          <c:w val="0.74786480841181413"/>
          <c:h val="0.53275222765469221"/>
        </c:manualLayout>
      </c:layout>
      <c:lineChart>
        <c:grouping val="standard"/>
        <c:ser>
          <c:idx val="0"/>
          <c:order val="0"/>
          <c:tx>
            <c:strRef>
              <c:f>新签合同额!$B$4</c:f>
              <c:strCache>
                <c:ptCount val="1"/>
                <c:pt idx="0">
                  <c:v>合同总额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新签合同额!$C$3:$M$3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新签合同额!$C$4:$M$4</c:f>
              <c:numCache>
                <c:formatCode>0_ </c:formatCode>
                <c:ptCount val="11"/>
                <c:pt idx="0">
                  <c:v>209.31</c:v>
                </c:pt>
                <c:pt idx="1">
                  <c:v>280.7</c:v>
                </c:pt>
                <c:pt idx="2">
                  <c:v>416.24</c:v>
                </c:pt>
                <c:pt idx="3">
                  <c:v>436.55</c:v>
                </c:pt>
                <c:pt idx="4">
                  <c:v>422.03</c:v>
                </c:pt>
                <c:pt idx="5">
                  <c:v>499.72999999999894</c:v>
                </c:pt>
                <c:pt idx="6">
                  <c:v>565.84999999999798</c:v>
                </c:pt>
                <c:pt idx="7">
                  <c:v>793.31999999999948</c:v>
                </c:pt>
                <c:pt idx="8">
                  <c:v>1049</c:v>
                </c:pt>
                <c:pt idx="9" formatCode="0.00_ ">
                  <c:v>1114.8799999999999</c:v>
                </c:pt>
                <c:pt idx="10" formatCode="General">
                  <c:v>1202.8</c:v>
                </c:pt>
              </c:numCache>
            </c:numRef>
          </c:val>
        </c:ser>
        <c:marker val="1"/>
        <c:axId val="288163328"/>
        <c:axId val="288165248"/>
      </c:lineChart>
      <c:catAx>
        <c:axId val="288163328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165248"/>
        <c:crosses val="autoZero"/>
        <c:auto val="1"/>
        <c:lblAlgn val="ctr"/>
        <c:lblOffset val="100"/>
        <c:tickMarkSkip val="1"/>
      </c:catAx>
      <c:valAx>
        <c:axId val="28816524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_ 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1633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新签合同总额同比趋势分析</a:t>
            </a:r>
          </a:p>
        </c:rich>
      </c:tx>
      <c:layout>
        <c:manualLayout>
          <c:xMode val="edge"/>
          <c:yMode val="edge"/>
          <c:x val="0.29690718987995779"/>
          <c:y val="3.98230088495575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2061855670103092"/>
          <c:y val="0.24336335765382541"/>
          <c:w val="0.75051546391752577"/>
          <c:h val="0.51770023355450911"/>
        </c:manualLayout>
      </c:layout>
      <c:lineChart>
        <c:grouping val="standard"/>
        <c:ser>
          <c:idx val="0"/>
          <c:order val="0"/>
          <c:tx>
            <c:strRef>
              <c:f>新签合同额!$B$5</c:f>
              <c:strCache>
                <c:ptCount val="1"/>
                <c:pt idx="0">
                  <c:v>上年对比</c:v>
                </c:pt>
              </c:strCache>
            </c:strRef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新签合同额!$C$3:$M$3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新签合同额!$C$5:$M$5</c:f>
              <c:numCache>
                <c:formatCode>0%</c:formatCode>
                <c:ptCount val="11"/>
                <c:pt idx="1">
                  <c:v>1.3410730495437457</c:v>
                </c:pt>
                <c:pt idx="2">
                  <c:v>1.4828642679016668</c:v>
                </c:pt>
                <c:pt idx="3">
                  <c:v>1.0487939650201799</c:v>
                </c:pt>
                <c:pt idx="4">
                  <c:v>0.96673920513114264</c:v>
                </c:pt>
                <c:pt idx="5">
                  <c:v>1.1841101343506524</c:v>
                </c:pt>
                <c:pt idx="6">
                  <c:v>1.1323114481820182</c:v>
                </c:pt>
                <c:pt idx="7">
                  <c:v>1.4019969956702216</c:v>
                </c:pt>
                <c:pt idx="8">
                  <c:v>1.3222911309433771</c:v>
                </c:pt>
                <c:pt idx="9" formatCode="0.0%">
                  <c:v>1.0628026692087782</c:v>
                </c:pt>
                <c:pt idx="10">
                  <c:v>1.0788605051664752</c:v>
                </c:pt>
              </c:numCache>
            </c:numRef>
          </c:val>
        </c:ser>
        <c:marker val="1"/>
        <c:axId val="288215424"/>
        <c:axId val="288217344"/>
      </c:lineChart>
      <c:catAx>
        <c:axId val="288215424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217344"/>
        <c:crosses val="autoZero"/>
        <c:auto val="1"/>
        <c:lblAlgn val="ctr"/>
        <c:lblOffset val="100"/>
        <c:tickMarkSkip val="1"/>
      </c:catAx>
      <c:valAx>
        <c:axId val="2882173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0%" sourceLinked="0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215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各类业务新签合同额趋势分析</a:t>
            </a:r>
          </a:p>
        </c:rich>
      </c:tx>
      <c:layout>
        <c:manualLayout>
          <c:xMode val="edge"/>
          <c:yMode val="edge"/>
          <c:x val="0.31596089962439283"/>
          <c:y val="3.83272499100877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1824104234527858"/>
          <c:y val="0.20557491289198609"/>
          <c:w val="0.75895765472313192"/>
          <c:h val="0.40766550522648082"/>
        </c:manualLayout>
      </c:layout>
      <c:lineChart>
        <c:grouping val="standard"/>
        <c:ser>
          <c:idx val="0"/>
          <c:order val="0"/>
          <c:tx>
            <c:strRef>
              <c:f>合同业务构成!$B$4</c:f>
              <c:strCache>
                <c:ptCount val="1"/>
                <c:pt idx="0">
                  <c:v>勘察设计咨询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合同业务构成!$C$3:$M$3</c:f>
              <c:strCache>
                <c:ptCount val="11"/>
                <c:pt idx="0">
                  <c:v>2005年</c:v>
                </c:pt>
                <c:pt idx="1">
                  <c:v>2006年</c:v>
                </c:pt>
                <c:pt idx="2">
                  <c:v>2007年</c:v>
                </c:pt>
                <c:pt idx="3">
                  <c:v>2008年</c:v>
                </c:pt>
                <c:pt idx="4">
                  <c:v>2009年</c:v>
                </c:pt>
                <c:pt idx="5">
                  <c:v>2010年</c:v>
                </c:pt>
                <c:pt idx="6">
                  <c:v>2011年</c:v>
                </c:pt>
                <c:pt idx="7">
                  <c:v>2012年</c:v>
                </c:pt>
                <c:pt idx="8">
                  <c:v>2013年</c:v>
                </c:pt>
                <c:pt idx="9">
                  <c:v>2014年</c:v>
                </c:pt>
                <c:pt idx="10">
                  <c:v>2015年</c:v>
                </c:pt>
              </c:strCache>
            </c:strRef>
          </c:cat>
          <c:val>
            <c:numRef>
              <c:f>合同业务构成!$C$4:$M$4</c:f>
              <c:numCache>
                <c:formatCode>General</c:formatCode>
                <c:ptCount val="11"/>
                <c:pt idx="0">
                  <c:v>121.29</c:v>
                </c:pt>
                <c:pt idx="1">
                  <c:v>125.78</c:v>
                </c:pt>
                <c:pt idx="2">
                  <c:v>166.15</c:v>
                </c:pt>
                <c:pt idx="3">
                  <c:v>186.99</c:v>
                </c:pt>
                <c:pt idx="4">
                  <c:v>185.55</c:v>
                </c:pt>
                <c:pt idx="5">
                  <c:v>178.76</c:v>
                </c:pt>
                <c:pt idx="6">
                  <c:v>236.12</c:v>
                </c:pt>
                <c:pt idx="7">
                  <c:v>222.4</c:v>
                </c:pt>
                <c:pt idx="8">
                  <c:v>224.3</c:v>
                </c:pt>
                <c:pt idx="9">
                  <c:v>228.64</c:v>
                </c:pt>
                <c:pt idx="10">
                  <c:v>209.96</c:v>
                </c:pt>
              </c:numCache>
            </c:numRef>
          </c:val>
        </c:ser>
        <c:ser>
          <c:idx val="1"/>
          <c:order val="1"/>
          <c:tx>
            <c:strRef>
              <c:f>合同业务构成!$B$5</c:f>
              <c:strCache>
                <c:ptCount val="1"/>
                <c:pt idx="0">
                  <c:v>监理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合同业务构成!$C$3:$M$3</c:f>
              <c:strCache>
                <c:ptCount val="11"/>
                <c:pt idx="0">
                  <c:v>2005年</c:v>
                </c:pt>
                <c:pt idx="1">
                  <c:v>2006年</c:v>
                </c:pt>
                <c:pt idx="2">
                  <c:v>2007年</c:v>
                </c:pt>
                <c:pt idx="3">
                  <c:v>2008年</c:v>
                </c:pt>
                <c:pt idx="4">
                  <c:v>2009年</c:v>
                </c:pt>
                <c:pt idx="5">
                  <c:v>2010年</c:v>
                </c:pt>
                <c:pt idx="6">
                  <c:v>2011年</c:v>
                </c:pt>
                <c:pt idx="7">
                  <c:v>2012年</c:v>
                </c:pt>
                <c:pt idx="8">
                  <c:v>2013年</c:v>
                </c:pt>
                <c:pt idx="9">
                  <c:v>2014年</c:v>
                </c:pt>
                <c:pt idx="10">
                  <c:v>2015年</c:v>
                </c:pt>
              </c:strCache>
            </c:strRef>
          </c:cat>
          <c:val>
            <c:numRef>
              <c:f>合同业务构成!$C$5:$M$5</c:f>
              <c:numCache>
                <c:formatCode>General</c:formatCode>
                <c:ptCount val="11"/>
                <c:pt idx="0">
                  <c:v>5.2</c:v>
                </c:pt>
                <c:pt idx="1">
                  <c:v>4.45</c:v>
                </c:pt>
                <c:pt idx="2">
                  <c:v>3.71</c:v>
                </c:pt>
                <c:pt idx="3">
                  <c:v>6.88</c:v>
                </c:pt>
                <c:pt idx="4">
                  <c:v>4.9000000000000004</c:v>
                </c:pt>
                <c:pt idx="5">
                  <c:v>3.2600000000000002</c:v>
                </c:pt>
                <c:pt idx="6">
                  <c:v>3.82</c:v>
                </c:pt>
                <c:pt idx="7">
                  <c:v>4.24</c:v>
                </c:pt>
                <c:pt idx="8">
                  <c:v>5.2</c:v>
                </c:pt>
                <c:pt idx="9">
                  <c:v>5.52</c:v>
                </c:pt>
                <c:pt idx="10">
                  <c:v>5.48</c:v>
                </c:pt>
              </c:numCache>
            </c:numRef>
          </c:val>
        </c:ser>
        <c:ser>
          <c:idx val="2"/>
          <c:order val="2"/>
          <c:tx>
            <c:strRef>
              <c:f>合同业务构成!$B$6</c:f>
              <c:strCache>
                <c:ptCount val="1"/>
                <c:pt idx="0">
                  <c:v>总承包</c:v>
                </c:pt>
              </c:strCache>
            </c:strRef>
          </c:tx>
          <c:spPr>
            <a:ln w="25400">
              <a:solidFill>
                <a:srgbClr val="FFFF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strRef>
              <c:f>合同业务构成!$C$3:$M$3</c:f>
              <c:strCache>
                <c:ptCount val="11"/>
                <c:pt idx="0">
                  <c:v>2005年</c:v>
                </c:pt>
                <c:pt idx="1">
                  <c:v>2006年</c:v>
                </c:pt>
                <c:pt idx="2">
                  <c:v>2007年</c:v>
                </c:pt>
                <c:pt idx="3">
                  <c:v>2008年</c:v>
                </c:pt>
                <c:pt idx="4">
                  <c:v>2009年</c:v>
                </c:pt>
                <c:pt idx="5">
                  <c:v>2010年</c:v>
                </c:pt>
                <c:pt idx="6">
                  <c:v>2011年</c:v>
                </c:pt>
                <c:pt idx="7">
                  <c:v>2012年</c:v>
                </c:pt>
                <c:pt idx="8">
                  <c:v>2013年</c:v>
                </c:pt>
                <c:pt idx="9">
                  <c:v>2014年</c:v>
                </c:pt>
                <c:pt idx="10">
                  <c:v>2015年</c:v>
                </c:pt>
              </c:strCache>
            </c:strRef>
          </c:cat>
          <c:val>
            <c:numRef>
              <c:f>合同业务构成!$C$6:$M$6</c:f>
              <c:numCache>
                <c:formatCode>General</c:formatCode>
                <c:ptCount val="11"/>
                <c:pt idx="0">
                  <c:v>78.8</c:v>
                </c:pt>
                <c:pt idx="1">
                  <c:v>147.38000000000088</c:v>
                </c:pt>
                <c:pt idx="2">
                  <c:v>243.88000000000088</c:v>
                </c:pt>
                <c:pt idx="3">
                  <c:v>234.41</c:v>
                </c:pt>
                <c:pt idx="4">
                  <c:v>229.81</c:v>
                </c:pt>
                <c:pt idx="5">
                  <c:v>316.13</c:v>
                </c:pt>
                <c:pt idx="6">
                  <c:v>318.8</c:v>
                </c:pt>
                <c:pt idx="7">
                  <c:v>564.75</c:v>
                </c:pt>
                <c:pt idx="8">
                  <c:v>817.2</c:v>
                </c:pt>
                <c:pt idx="9">
                  <c:v>872.74</c:v>
                </c:pt>
                <c:pt idx="10">
                  <c:v>985.88</c:v>
                </c:pt>
              </c:numCache>
            </c:numRef>
          </c:val>
        </c:ser>
        <c:ser>
          <c:idx val="3"/>
          <c:order val="3"/>
          <c:tx>
            <c:strRef>
              <c:f>合同业务构成!$B$7</c:f>
              <c:strCache>
                <c:ptCount val="1"/>
                <c:pt idx="0">
                  <c:v>其它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cat>
            <c:strRef>
              <c:f>合同业务构成!$C$3:$M$3</c:f>
              <c:strCache>
                <c:ptCount val="11"/>
                <c:pt idx="0">
                  <c:v>2005年</c:v>
                </c:pt>
                <c:pt idx="1">
                  <c:v>2006年</c:v>
                </c:pt>
                <c:pt idx="2">
                  <c:v>2007年</c:v>
                </c:pt>
                <c:pt idx="3">
                  <c:v>2008年</c:v>
                </c:pt>
                <c:pt idx="4">
                  <c:v>2009年</c:v>
                </c:pt>
                <c:pt idx="5">
                  <c:v>2010年</c:v>
                </c:pt>
                <c:pt idx="6">
                  <c:v>2011年</c:v>
                </c:pt>
                <c:pt idx="7">
                  <c:v>2012年</c:v>
                </c:pt>
                <c:pt idx="8">
                  <c:v>2013年</c:v>
                </c:pt>
                <c:pt idx="9">
                  <c:v>2014年</c:v>
                </c:pt>
                <c:pt idx="10">
                  <c:v>2015年</c:v>
                </c:pt>
              </c:strCache>
            </c:strRef>
          </c:cat>
          <c:val>
            <c:numRef>
              <c:f>合同业务构成!$C$7:$M$7</c:f>
              <c:numCache>
                <c:formatCode>General</c:formatCode>
                <c:ptCount val="11"/>
                <c:pt idx="0">
                  <c:v>4.01</c:v>
                </c:pt>
                <c:pt idx="1">
                  <c:v>3.09</c:v>
                </c:pt>
                <c:pt idx="2">
                  <c:v>2.4899999999999998</c:v>
                </c:pt>
                <c:pt idx="3">
                  <c:v>8.26</c:v>
                </c:pt>
                <c:pt idx="4">
                  <c:v>1.77</c:v>
                </c:pt>
                <c:pt idx="5">
                  <c:v>1.58</c:v>
                </c:pt>
                <c:pt idx="6">
                  <c:v>7.1</c:v>
                </c:pt>
                <c:pt idx="7">
                  <c:v>1.9300000000000068</c:v>
                </c:pt>
                <c:pt idx="8">
                  <c:v>3.1</c:v>
                </c:pt>
                <c:pt idx="9">
                  <c:v>7.98</c:v>
                </c:pt>
                <c:pt idx="10">
                  <c:v>1.49</c:v>
                </c:pt>
              </c:numCache>
            </c:numRef>
          </c:val>
        </c:ser>
        <c:marker val="1"/>
        <c:axId val="288269440"/>
        <c:axId val="288271360"/>
      </c:lineChart>
      <c:catAx>
        <c:axId val="288269440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271360"/>
        <c:crosses val="autoZero"/>
        <c:auto val="1"/>
        <c:lblAlgn val="ctr"/>
        <c:lblOffset val="100"/>
        <c:tickMarkSkip val="1"/>
      </c:catAx>
      <c:valAx>
        <c:axId val="2882713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269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完成产值趋势分析</a:t>
            </a:r>
          </a:p>
        </c:rich>
      </c:tx>
      <c:layout>
        <c:manualLayout>
          <c:xMode val="edge"/>
          <c:yMode val="edge"/>
          <c:x val="0.35637184886772882"/>
          <c:y val="3.947376948251869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3110175559968488"/>
          <c:y val="0.24561508709861191"/>
          <c:w val="0.73866168612235761"/>
          <c:h val="0.51754607638636052"/>
        </c:manualLayout>
      </c:layout>
      <c:lineChart>
        <c:grouping val="standard"/>
        <c:ser>
          <c:idx val="0"/>
          <c:order val="0"/>
          <c:tx>
            <c:strRef>
              <c:f>产值!$C$5</c:f>
              <c:strCache>
                <c:ptCount val="1"/>
                <c:pt idx="0">
                  <c:v>完成产值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numRef>
              <c:f>产值!$D$3:$M$3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产值!$D$5:$M$5</c:f>
              <c:numCache>
                <c:formatCode>0_ </c:formatCode>
                <c:ptCount val="10"/>
                <c:pt idx="0">
                  <c:v>151.39000000000001</c:v>
                </c:pt>
                <c:pt idx="1">
                  <c:v>166.43</c:v>
                </c:pt>
                <c:pt idx="2">
                  <c:v>176.63</c:v>
                </c:pt>
                <c:pt idx="3">
                  <c:v>182.64</c:v>
                </c:pt>
                <c:pt idx="4">
                  <c:v>190.62</c:v>
                </c:pt>
                <c:pt idx="5">
                  <c:v>230.51</c:v>
                </c:pt>
                <c:pt idx="6">
                  <c:v>245</c:v>
                </c:pt>
                <c:pt idx="7">
                  <c:v>268</c:v>
                </c:pt>
                <c:pt idx="8">
                  <c:v>243</c:v>
                </c:pt>
                <c:pt idx="9" formatCode="0.0_ ">
                  <c:v>245.29</c:v>
                </c:pt>
              </c:numCache>
            </c:numRef>
          </c:val>
        </c:ser>
        <c:marker val="1"/>
        <c:axId val="288378240"/>
        <c:axId val="288380416"/>
      </c:lineChart>
      <c:catAx>
        <c:axId val="288378240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380416"/>
        <c:crosses val="autoZero"/>
        <c:auto val="1"/>
        <c:lblAlgn val="ctr"/>
        <c:lblOffset val="100"/>
        <c:tickMarkSkip val="1"/>
      </c:catAx>
      <c:valAx>
        <c:axId val="288380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_ 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3782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完成产值同比趋势分析</a:t>
            </a:r>
          </a:p>
        </c:rich>
      </c:tx>
      <c:layout>
        <c:manualLayout>
          <c:xMode val="edge"/>
          <c:yMode val="edge"/>
          <c:x val="0.31877714652757017"/>
          <c:y val="4.017878518323284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3362445414847174"/>
          <c:y val="0.25"/>
          <c:w val="0.73580786026200873"/>
          <c:h val="0.50892857142857695"/>
        </c:manualLayout>
      </c:layout>
      <c:lineChart>
        <c:grouping val="standard"/>
        <c:ser>
          <c:idx val="0"/>
          <c:order val="0"/>
          <c:tx>
            <c:strRef>
              <c:f>产值!$C$6</c:f>
              <c:strCache>
                <c:ptCount val="1"/>
                <c:pt idx="0">
                  <c:v>上年对比</c:v>
                </c:pt>
              </c:strCache>
            </c:strRef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cat>
            <c:numRef>
              <c:f>产值!$E$3:$M$3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产值!$E$6:$M$6</c:f>
              <c:numCache>
                <c:formatCode>0%</c:formatCode>
                <c:ptCount val="9"/>
                <c:pt idx="0">
                  <c:v>1.0993460598454319</c:v>
                </c:pt>
                <c:pt idx="1">
                  <c:v>1.0612870275791624</c:v>
                </c:pt>
                <c:pt idx="2">
                  <c:v>1.0340259299099821</c:v>
                </c:pt>
                <c:pt idx="3">
                  <c:v>1.0436925098554535</c:v>
                </c:pt>
                <c:pt idx="4">
                  <c:v>1.2092645052984894</c:v>
                </c:pt>
                <c:pt idx="5">
                  <c:v>1.0628606134224035</c:v>
                </c:pt>
                <c:pt idx="6">
                  <c:v>1.0938775510204082</c:v>
                </c:pt>
                <c:pt idx="7">
                  <c:v>0.90671641791044777</c:v>
                </c:pt>
                <c:pt idx="8">
                  <c:v>1.0094238683127572</c:v>
                </c:pt>
              </c:numCache>
            </c:numRef>
          </c:val>
        </c:ser>
        <c:marker val="1"/>
        <c:axId val="288393088"/>
        <c:axId val="288428032"/>
      </c:lineChart>
      <c:catAx>
        <c:axId val="288393088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428032"/>
        <c:crosses val="autoZero"/>
        <c:auto val="1"/>
        <c:lblAlgn val="ctr"/>
        <c:lblOffset val="100"/>
        <c:tickMarkSkip val="1"/>
      </c:catAx>
      <c:valAx>
        <c:axId val="28842803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393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/>
            </a:pPr>
            <a:r>
              <a:rPr lang="zh-CN" sz="1100"/>
              <a:t>营业收入趋势分析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营业收入!$A$3</c:f>
              <c:strCache>
                <c:ptCount val="1"/>
                <c:pt idx="0">
                  <c:v>营业收入</c:v>
                </c:pt>
              </c:strCache>
            </c:strRef>
          </c:tx>
          <c:spPr>
            <a:ln w="19050">
              <a:solidFill>
                <a:srgbClr val="0070C0"/>
              </a:solidFill>
            </a:ln>
          </c:spPr>
          <c:cat>
            <c:strRef>
              <c:f>营业收入!$D$2:$M$2</c:f>
              <c:strCache>
                <c:ptCount val="10"/>
                <c:pt idx="0">
                  <c:v>2006年</c:v>
                </c:pt>
                <c:pt idx="1">
                  <c:v>2007年</c:v>
                </c:pt>
                <c:pt idx="2">
                  <c:v>2008年</c:v>
                </c:pt>
                <c:pt idx="3">
                  <c:v>2009年</c:v>
                </c:pt>
                <c:pt idx="4">
                  <c:v>2010年</c:v>
                </c:pt>
                <c:pt idx="5">
                  <c:v>2011年</c:v>
                </c:pt>
                <c:pt idx="6">
                  <c:v>2012年</c:v>
                </c:pt>
                <c:pt idx="7">
                  <c:v>2013年</c:v>
                </c:pt>
                <c:pt idx="8">
                  <c:v>2014年</c:v>
                </c:pt>
                <c:pt idx="9">
                  <c:v>2015年</c:v>
                </c:pt>
              </c:strCache>
            </c:strRef>
          </c:cat>
          <c:val>
            <c:numRef>
              <c:f>营业收入!$D$3:$M$3</c:f>
              <c:numCache>
                <c:formatCode>General</c:formatCode>
                <c:ptCount val="10"/>
                <c:pt idx="0">
                  <c:v>176.39000000000001</c:v>
                </c:pt>
                <c:pt idx="1">
                  <c:v>189.66</c:v>
                </c:pt>
                <c:pt idx="2">
                  <c:v>232.41</c:v>
                </c:pt>
                <c:pt idx="3">
                  <c:v>249.37</c:v>
                </c:pt>
                <c:pt idx="4">
                  <c:v>269.83</c:v>
                </c:pt>
                <c:pt idx="5">
                  <c:v>339.95</c:v>
                </c:pt>
                <c:pt idx="6">
                  <c:v>437.98999999999899</c:v>
                </c:pt>
                <c:pt idx="7">
                  <c:v>527.15</c:v>
                </c:pt>
                <c:pt idx="8">
                  <c:v>629.44999999999948</c:v>
                </c:pt>
                <c:pt idx="9">
                  <c:v>719.03</c:v>
                </c:pt>
              </c:numCache>
            </c:numRef>
          </c:val>
        </c:ser>
        <c:ser>
          <c:idx val="1"/>
          <c:order val="1"/>
          <c:tx>
            <c:strRef>
              <c:f>营业收入!$A$5</c:f>
              <c:strCache>
                <c:ptCount val="1"/>
                <c:pt idx="0">
                  <c:v>境内收入</c:v>
                </c:pt>
              </c:strCache>
            </c:strRef>
          </c:tx>
          <c:spPr>
            <a:ln w="19050">
              <a:solidFill>
                <a:srgbClr val="FF00FF"/>
              </a:solidFill>
            </a:ln>
          </c:spPr>
          <c:cat>
            <c:strRef>
              <c:f>营业收入!$D$2:$M$2</c:f>
              <c:strCache>
                <c:ptCount val="10"/>
                <c:pt idx="0">
                  <c:v>2006年</c:v>
                </c:pt>
                <c:pt idx="1">
                  <c:v>2007年</c:v>
                </c:pt>
                <c:pt idx="2">
                  <c:v>2008年</c:v>
                </c:pt>
                <c:pt idx="3">
                  <c:v>2009年</c:v>
                </c:pt>
                <c:pt idx="4">
                  <c:v>2010年</c:v>
                </c:pt>
                <c:pt idx="5">
                  <c:v>2011年</c:v>
                </c:pt>
                <c:pt idx="6">
                  <c:v>2012年</c:v>
                </c:pt>
                <c:pt idx="7">
                  <c:v>2013年</c:v>
                </c:pt>
                <c:pt idx="8">
                  <c:v>2014年</c:v>
                </c:pt>
                <c:pt idx="9">
                  <c:v>2015年</c:v>
                </c:pt>
              </c:strCache>
            </c:strRef>
          </c:cat>
          <c:val>
            <c:numRef>
              <c:f>营业收入!$D$5:$M$5</c:f>
              <c:numCache>
                <c:formatCode>General</c:formatCode>
                <c:ptCount val="10"/>
                <c:pt idx="0">
                  <c:v>173.17</c:v>
                </c:pt>
                <c:pt idx="1">
                  <c:v>185.86</c:v>
                </c:pt>
                <c:pt idx="2">
                  <c:v>213.26</c:v>
                </c:pt>
                <c:pt idx="3">
                  <c:v>232.86</c:v>
                </c:pt>
                <c:pt idx="4">
                  <c:v>249.75</c:v>
                </c:pt>
                <c:pt idx="5">
                  <c:v>322.66000000000008</c:v>
                </c:pt>
                <c:pt idx="6">
                  <c:v>413.13</c:v>
                </c:pt>
                <c:pt idx="7">
                  <c:v>499.56</c:v>
                </c:pt>
                <c:pt idx="8">
                  <c:v>599.04999999999939</c:v>
                </c:pt>
                <c:pt idx="9">
                  <c:v>689.41</c:v>
                </c:pt>
              </c:numCache>
            </c:numRef>
          </c:val>
        </c:ser>
        <c:ser>
          <c:idx val="2"/>
          <c:order val="2"/>
          <c:tx>
            <c:strRef>
              <c:f>营业收入!$A$7</c:f>
              <c:strCache>
                <c:ptCount val="1"/>
                <c:pt idx="0">
                  <c:v>境外收入</c:v>
                </c:pt>
              </c:strCache>
            </c:strRef>
          </c:tx>
          <c:spPr>
            <a:ln w="19050">
              <a:solidFill>
                <a:srgbClr val="FFFF00"/>
              </a:solidFill>
            </a:ln>
          </c:spPr>
          <c:cat>
            <c:strRef>
              <c:f>营业收入!$D$2:$M$2</c:f>
              <c:strCache>
                <c:ptCount val="10"/>
                <c:pt idx="0">
                  <c:v>2006年</c:v>
                </c:pt>
                <c:pt idx="1">
                  <c:v>2007年</c:v>
                </c:pt>
                <c:pt idx="2">
                  <c:v>2008年</c:v>
                </c:pt>
                <c:pt idx="3">
                  <c:v>2009年</c:v>
                </c:pt>
                <c:pt idx="4">
                  <c:v>2010年</c:v>
                </c:pt>
                <c:pt idx="5">
                  <c:v>2011年</c:v>
                </c:pt>
                <c:pt idx="6">
                  <c:v>2012年</c:v>
                </c:pt>
                <c:pt idx="7">
                  <c:v>2013年</c:v>
                </c:pt>
                <c:pt idx="8">
                  <c:v>2014年</c:v>
                </c:pt>
                <c:pt idx="9">
                  <c:v>2015年</c:v>
                </c:pt>
              </c:strCache>
            </c:strRef>
          </c:cat>
          <c:val>
            <c:numRef>
              <c:f>营业收入!$D$7:$M$7</c:f>
              <c:numCache>
                <c:formatCode>General</c:formatCode>
                <c:ptCount val="10"/>
                <c:pt idx="0">
                  <c:v>3.22</c:v>
                </c:pt>
                <c:pt idx="1">
                  <c:v>3.8</c:v>
                </c:pt>
                <c:pt idx="2">
                  <c:v>19.149999999999999</c:v>
                </c:pt>
                <c:pt idx="3">
                  <c:v>16.510000000000005</c:v>
                </c:pt>
                <c:pt idx="4">
                  <c:v>20.079999999999988</c:v>
                </c:pt>
                <c:pt idx="5">
                  <c:v>17.29</c:v>
                </c:pt>
                <c:pt idx="6">
                  <c:v>24.86</c:v>
                </c:pt>
                <c:pt idx="7">
                  <c:v>27.59</c:v>
                </c:pt>
                <c:pt idx="8">
                  <c:v>30.4</c:v>
                </c:pt>
                <c:pt idx="9">
                  <c:v>29.610000000000031</c:v>
                </c:pt>
              </c:numCache>
            </c:numRef>
          </c:val>
        </c:ser>
        <c:ser>
          <c:idx val="3"/>
          <c:order val="3"/>
          <c:tx>
            <c:strRef>
              <c:f>营业收入!$A$9</c:f>
              <c:strCache>
                <c:ptCount val="1"/>
                <c:pt idx="0">
                  <c:v>总承包收入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cat>
            <c:strRef>
              <c:f>营业收入!$D$2:$M$2</c:f>
              <c:strCache>
                <c:ptCount val="10"/>
                <c:pt idx="0">
                  <c:v>2006年</c:v>
                </c:pt>
                <c:pt idx="1">
                  <c:v>2007年</c:v>
                </c:pt>
                <c:pt idx="2">
                  <c:v>2008年</c:v>
                </c:pt>
                <c:pt idx="3">
                  <c:v>2009年</c:v>
                </c:pt>
                <c:pt idx="4">
                  <c:v>2010年</c:v>
                </c:pt>
                <c:pt idx="5">
                  <c:v>2011年</c:v>
                </c:pt>
                <c:pt idx="6">
                  <c:v>2012年</c:v>
                </c:pt>
                <c:pt idx="7">
                  <c:v>2013年</c:v>
                </c:pt>
                <c:pt idx="8">
                  <c:v>2014年</c:v>
                </c:pt>
                <c:pt idx="9">
                  <c:v>2015年</c:v>
                </c:pt>
              </c:strCache>
            </c:strRef>
          </c:cat>
          <c:val>
            <c:numRef>
              <c:f>营业收入!$D$9:$M$9</c:f>
              <c:numCache>
                <c:formatCode>General</c:formatCode>
                <c:ptCount val="10"/>
                <c:pt idx="0">
                  <c:v>26.979999999999986</c:v>
                </c:pt>
                <c:pt idx="1">
                  <c:v>66.63</c:v>
                </c:pt>
                <c:pt idx="2">
                  <c:v>82.03</c:v>
                </c:pt>
                <c:pt idx="3">
                  <c:v>93.36999999999999</c:v>
                </c:pt>
                <c:pt idx="4">
                  <c:v>108.26</c:v>
                </c:pt>
                <c:pt idx="5">
                  <c:v>124.24000000000002</c:v>
                </c:pt>
                <c:pt idx="6">
                  <c:v>223.28</c:v>
                </c:pt>
                <c:pt idx="7">
                  <c:v>305.83</c:v>
                </c:pt>
                <c:pt idx="8">
                  <c:v>410.17</c:v>
                </c:pt>
                <c:pt idx="9">
                  <c:v>495.66</c:v>
                </c:pt>
              </c:numCache>
            </c:numRef>
          </c:val>
        </c:ser>
        <c:marker val="1"/>
        <c:axId val="288454528"/>
        <c:axId val="288456064"/>
      </c:lineChart>
      <c:catAx>
        <c:axId val="288454528"/>
        <c:scaling>
          <c:orientation val="minMax"/>
        </c:scaling>
        <c:axPos val="b"/>
        <c:numFmt formatCode="General" sourceLinked="1"/>
        <c:majorTickMark val="none"/>
        <c:tickLblPos val="nextTo"/>
        <c:crossAx val="288456064"/>
        <c:crosses val="autoZero"/>
        <c:auto val="1"/>
        <c:lblAlgn val="ctr"/>
        <c:lblOffset val="100"/>
      </c:catAx>
      <c:valAx>
        <c:axId val="2884560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28845452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bg1">
            <a:lumMod val="85000"/>
          </a:schemeClr>
        </a:solidFill>
        <a:ln>
          <a:solidFill>
            <a:schemeClr val="accent1"/>
          </a:solidFill>
        </a:ln>
      </c:spPr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400" b="1">
                <a:solidFill>
                  <a:srgbClr val="FF0000"/>
                </a:solidFill>
              </a:defRPr>
            </a:pPr>
            <a:r>
              <a:rPr lang="en-US" altLang="zh-CN" sz="1400" b="1">
                <a:solidFill>
                  <a:srgbClr val="FF0000"/>
                </a:solidFill>
              </a:rPr>
              <a:t>2012</a:t>
            </a:r>
            <a:r>
              <a:rPr lang="zh-CN" altLang="en-US" sz="1400" b="1">
                <a:solidFill>
                  <a:srgbClr val="FF0000"/>
                </a:solidFill>
              </a:rPr>
              <a:t>年以来行业各分类新签合同额走势图</a:t>
            </a:r>
          </a:p>
        </c:rich>
      </c:tx>
    </c:title>
    <c:plotArea>
      <c:layout>
        <c:manualLayout>
          <c:layoutTarget val="inner"/>
          <c:xMode val="edge"/>
          <c:yMode val="edge"/>
          <c:x val="0.20580023028209793"/>
          <c:y val="0.14782704372319341"/>
          <c:w val="0.79419976971789996"/>
          <c:h val="0.47817721336662489"/>
        </c:manualLayout>
      </c:layout>
      <c:lineChart>
        <c:grouping val="standard"/>
        <c:ser>
          <c:idx val="0"/>
          <c:order val="0"/>
          <c:tx>
            <c:strRef>
              <c:f>合同额!$A$21</c:f>
              <c:strCache>
                <c:ptCount val="1"/>
                <c:pt idx="0">
                  <c:v>新签合同总额(亿元）</c:v>
                </c:pt>
              </c:strCache>
            </c:strRef>
          </c:tx>
          <c:dLbls>
            <c:dLbl>
              <c:idx val="1"/>
              <c:layout>
                <c:manualLayout>
                  <c:x val="-6.035665294924665E-2"/>
                  <c:y val="-5.6123167530887877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7673330957087194E-2"/>
                  <c:y val="-5.479562768068707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92181069958839E-2"/>
                  <c:y val="-5.987692849369439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0070C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合同额!$B$20:$E$20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合同额!$B$21:$E$21</c:f>
              <c:numCache>
                <c:formatCode>0.00_);[Red]\(0.00\)</c:formatCode>
                <c:ptCount val="4"/>
                <c:pt idx="0">
                  <c:v>793.32999999999947</c:v>
                </c:pt>
                <c:pt idx="1">
                  <c:v>1049.8399999999999</c:v>
                </c:pt>
                <c:pt idx="2">
                  <c:v>1114.8799999999999</c:v>
                </c:pt>
                <c:pt idx="3">
                  <c:v>1202.8200000000002</c:v>
                </c:pt>
              </c:numCache>
            </c:numRef>
          </c:val>
        </c:ser>
        <c:ser>
          <c:idx val="1"/>
          <c:order val="1"/>
          <c:tx>
            <c:strRef>
              <c:f>合同额!$A$22</c:f>
              <c:strCache>
                <c:ptCount val="1"/>
                <c:pt idx="0">
                  <c:v>总承包合同额（亿元）</c:v>
                </c:pt>
              </c:strCache>
            </c:strRef>
          </c:tx>
          <c:dLbls>
            <c:dLbl>
              <c:idx val="0"/>
              <c:layout>
                <c:manualLayout>
                  <c:x val="-1.4630052720093918E-2"/>
                  <c:y val="4.879879879879880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2.5906735751295342E-2"/>
                  <c:y val="5.255255255255255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7345998848589612E-2"/>
                  <c:y val="4.879879879879880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8785375273686652E-2"/>
                  <c:y val="4.879879879879880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900" b="1">
                    <a:solidFill>
                      <a:srgbClr val="C00000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合同额!$B$20:$E$20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合同额!$B$22:$E$22</c:f>
              <c:numCache>
                <c:formatCode>0.00_);[Red]\(0.00\)</c:formatCode>
                <c:ptCount val="4"/>
                <c:pt idx="0">
                  <c:v>564.75</c:v>
                </c:pt>
                <c:pt idx="1">
                  <c:v>817.2399999999999</c:v>
                </c:pt>
                <c:pt idx="2">
                  <c:v>872.74</c:v>
                </c:pt>
                <c:pt idx="3">
                  <c:v>985.88</c:v>
                </c:pt>
              </c:numCache>
            </c:numRef>
          </c:val>
        </c:ser>
        <c:ser>
          <c:idx val="2"/>
          <c:order val="2"/>
          <c:tx>
            <c:strRef>
              <c:f>合同额!$A$23</c:f>
              <c:strCache>
                <c:ptCount val="1"/>
                <c:pt idx="0">
                  <c:v>勘测设计咨询合同额（亿元）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triangle"/>
            <c:size val="7"/>
            <c:spPr>
              <a:solidFill>
                <a:srgbClr val="FF00FF"/>
              </a:solidFill>
            </c:spPr>
          </c:marker>
          <c:dLbls>
            <c:dLbl>
              <c:idx val="0"/>
              <c:layout>
                <c:manualLayout>
                  <c:x val="-3.0224525043177887E-2"/>
                  <c:y val="4.879879879879880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0224525043177887E-2"/>
                  <c:y val="4.129129129129142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906735751295342E-2"/>
                  <c:y val="4.129129129129133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3103164565569242E-2"/>
                  <c:y val="4.5045045045045043E-2"/>
                </c:manualLayout>
              </c:layout>
              <c:dLblPos val="r"/>
              <c:showVal val="1"/>
            </c:dLbl>
            <c:spPr>
              <a:noFill/>
            </c:spPr>
            <c:txPr>
              <a:bodyPr/>
              <a:lstStyle/>
              <a:p>
                <a:pPr>
                  <a:defRPr sz="900" b="1">
                    <a:solidFill>
                      <a:srgbClr val="FF00FF"/>
                    </a:solidFill>
                  </a:defRPr>
                </a:pPr>
                <a:endParaRPr lang="zh-CN"/>
              </a:p>
            </c:txPr>
            <c:dLblPos val="t"/>
            <c:showVal val="1"/>
          </c:dLbls>
          <c:cat>
            <c:strRef>
              <c:f>合同额!$B$20:$E$20</c:f>
              <c:strCache>
                <c:ptCount val="4"/>
                <c:pt idx="0">
                  <c:v>2012年</c:v>
                </c:pt>
                <c:pt idx="1">
                  <c:v>2013年</c:v>
                </c:pt>
                <c:pt idx="2">
                  <c:v>2014年</c:v>
                </c:pt>
                <c:pt idx="3">
                  <c:v>2015年</c:v>
                </c:pt>
              </c:strCache>
            </c:strRef>
          </c:cat>
          <c:val>
            <c:numRef>
              <c:f>合同额!$B$23:$E$23</c:f>
              <c:numCache>
                <c:formatCode>0.00_);[Red]\(0.00\)</c:formatCode>
                <c:ptCount val="4"/>
                <c:pt idx="0">
                  <c:v>228.58</c:v>
                </c:pt>
                <c:pt idx="1">
                  <c:v>232.60000000000005</c:v>
                </c:pt>
                <c:pt idx="2">
                  <c:v>242.14</c:v>
                </c:pt>
                <c:pt idx="3">
                  <c:v>216.94</c:v>
                </c:pt>
              </c:numCache>
            </c:numRef>
          </c:val>
        </c:ser>
        <c:dLbls>
          <c:showVal val="1"/>
        </c:dLbls>
        <c:marker val="1"/>
        <c:axId val="286031872"/>
        <c:axId val="286033408"/>
      </c:lineChart>
      <c:catAx>
        <c:axId val="286031872"/>
        <c:scaling>
          <c:orientation val="minMax"/>
        </c:scaling>
        <c:axPos val="b"/>
        <c:numFmt formatCode="General" sourceLinked="1"/>
        <c:tickLblPos val="nextTo"/>
        <c:crossAx val="286033408"/>
        <c:crosses val="autoZero"/>
        <c:auto val="1"/>
        <c:lblAlgn val="ctr"/>
        <c:lblOffset val="100"/>
      </c:catAx>
      <c:valAx>
        <c:axId val="286033408"/>
        <c:scaling>
          <c:orientation val="minMax"/>
        </c:scaling>
        <c:axPos val="l"/>
        <c:majorGridlines/>
        <c:numFmt formatCode="0.00_);[Red]\(0.00\)" sourceLinked="1"/>
        <c:tickLblPos val="nextTo"/>
        <c:txPr>
          <a:bodyPr/>
          <a:lstStyle/>
          <a:p>
            <a:pPr>
              <a:defRPr sz="900" b="1">
                <a:solidFill>
                  <a:srgbClr val="00B050"/>
                </a:solidFill>
              </a:defRPr>
            </a:pPr>
            <a:endParaRPr lang="zh-CN"/>
          </a:p>
        </c:txPr>
        <c:crossAx val="2860318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 b="1">
                <a:solidFill>
                  <a:srgbClr val="00B050"/>
                </a:solidFill>
              </a:defRPr>
            </a:pPr>
            <a:endParaRPr lang="zh-CN"/>
          </a:p>
        </c:txPr>
      </c:dTable>
    </c:plotArea>
    <c:plotVisOnly val="1"/>
    <c:dispBlanksAs val="gap"/>
  </c:chart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/>
            </a:pPr>
            <a:r>
              <a:rPr lang="zh-CN" sz="1100" b="1" i="0" baseline="0"/>
              <a:t>营业收入增速趋势分析</a:t>
            </a:r>
            <a:endParaRPr lang="zh-CN" sz="1100"/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营业收入!$A$4</c:f>
              <c:strCache>
                <c:ptCount val="1"/>
                <c:pt idx="0">
                  <c:v>营业收入</c:v>
                </c:pt>
              </c:strCache>
            </c:strRef>
          </c:tx>
          <c:dPt>
            <c:idx val="4"/>
            <c:marker>
              <c:symbol val="diamond"/>
              <c:size val="5"/>
            </c:marker>
            <c:spPr>
              <a:ln w="19050">
                <a:solidFill>
                  <a:srgbClr val="0070C0"/>
                </a:solidFill>
              </a:ln>
            </c:spPr>
          </c:dPt>
          <c:cat>
            <c:strRef>
              <c:f>营业收入!$G$2:$M$2</c:f>
              <c:strCache>
                <c:ptCount val="7"/>
                <c:pt idx="0">
                  <c:v>2009年</c:v>
                </c:pt>
                <c:pt idx="1">
                  <c:v>2010年</c:v>
                </c:pt>
                <c:pt idx="2">
                  <c:v>2011年</c:v>
                </c:pt>
                <c:pt idx="3">
                  <c:v>2012年</c:v>
                </c:pt>
                <c:pt idx="4">
                  <c:v>2013年</c:v>
                </c:pt>
                <c:pt idx="5">
                  <c:v>2014年</c:v>
                </c:pt>
                <c:pt idx="6">
                  <c:v>2015年</c:v>
                </c:pt>
              </c:strCache>
            </c:strRef>
          </c:cat>
          <c:val>
            <c:numRef>
              <c:f>营业收入!$G$4:$M$4</c:f>
              <c:numCache>
                <c:formatCode>0%</c:formatCode>
                <c:ptCount val="7"/>
                <c:pt idx="0">
                  <c:v>1.0729744847467841</c:v>
                </c:pt>
                <c:pt idx="1">
                  <c:v>1.0820467578297308</c:v>
                </c:pt>
                <c:pt idx="2">
                  <c:v>1.2598673238705853</c:v>
                </c:pt>
                <c:pt idx="3">
                  <c:v>1.2883953522576761</c:v>
                </c:pt>
                <c:pt idx="4">
                  <c:v>1.2035662914678293</c:v>
                </c:pt>
                <c:pt idx="5">
                  <c:v>1.1940624110784421</c:v>
                </c:pt>
                <c:pt idx="6">
                  <c:v>1.1423147191993008</c:v>
                </c:pt>
              </c:numCache>
            </c:numRef>
          </c:val>
        </c:ser>
        <c:ser>
          <c:idx val="1"/>
          <c:order val="1"/>
          <c:tx>
            <c:strRef>
              <c:f>营业收入!$A$6</c:f>
              <c:strCache>
                <c:ptCount val="1"/>
                <c:pt idx="0">
                  <c:v>境内收入</c:v>
                </c:pt>
              </c:strCache>
            </c:strRef>
          </c:tx>
          <c:spPr>
            <a:ln w="12700">
              <a:solidFill>
                <a:srgbClr val="FF00FF"/>
              </a:solidFill>
            </a:ln>
          </c:spPr>
          <c:cat>
            <c:strRef>
              <c:f>营业收入!$G$2:$M$2</c:f>
              <c:strCache>
                <c:ptCount val="7"/>
                <c:pt idx="0">
                  <c:v>2009年</c:v>
                </c:pt>
                <c:pt idx="1">
                  <c:v>2010年</c:v>
                </c:pt>
                <c:pt idx="2">
                  <c:v>2011年</c:v>
                </c:pt>
                <c:pt idx="3">
                  <c:v>2012年</c:v>
                </c:pt>
                <c:pt idx="4">
                  <c:v>2013年</c:v>
                </c:pt>
                <c:pt idx="5">
                  <c:v>2014年</c:v>
                </c:pt>
                <c:pt idx="6">
                  <c:v>2015年</c:v>
                </c:pt>
              </c:strCache>
            </c:strRef>
          </c:cat>
          <c:val>
            <c:numRef>
              <c:f>营业收入!$G$6:$M$6</c:f>
              <c:numCache>
                <c:formatCode>0%</c:formatCode>
                <c:ptCount val="7"/>
                <c:pt idx="0">
                  <c:v>1.0919065928913059</c:v>
                </c:pt>
                <c:pt idx="1">
                  <c:v>1.0725328523576396</c:v>
                </c:pt>
                <c:pt idx="2">
                  <c:v>1.291931931931932</c:v>
                </c:pt>
                <c:pt idx="3">
                  <c:v>1.2803880245459693</c:v>
                </c:pt>
                <c:pt idx="4">
                  <c:v>1.2092077554280736</c:v>
                </c:pt>
                <c:pt idx="5">
                  <c:v>1.1991552566258321</c:v>
                </c:pt>
                <c:pt idx="6">
                  <c:v>1.1508388281445623</c:v>
                </c:pt>
              </c:numCache>
            </c:numRef>
          </c:val>
        </c:ser>
        <c:ser>
          <c:idx val="2"/>
          <c:order val="2"/>
          <c:tx>
            <c:strRef>
              <c:f>营业收入!$A$8</c:f>
              <c:strCache>
                <c:ptCount val="1"/>
                <c:pt idx="0">
                  <c:v>境外收入</c:v>
                </c:pt>
              </c:strCache>
            </c:strRef>
          </c:tx>
          <c:spPr>
            <a:ln w="19050">
              <a:solidFill>
                <a:srgbClr val="FFFF00"/>
              </a:solidFill>
            </a:ln>
          </c:spPr>
          <c:cat>
            <c:strRef>
              <c:f>营业收入!$G$2:$M$2</c:f>
              <c:strCache>
                <c:ptCount val="7"/>
                <c:pt idx="0">
                  <c:v>2009年</c:v>
                </c:pt>
                <c:pt idx="1">
                  <c:v>2010年</c:v>
                </c:pt>
                <c:pt idx="2">
                  <c:v>2011年</c:v>
                </c:pt>
                <c:pt idx="3">
                  <c:v>2012年</c:v>
                </c:pt>
                <c:pt idx="4">
                  <c:v>2013年</c:v>
                </c:pt>
                <c:pt idx="5">
                  <c:v>2014年</c:v>
                </c:pt>
                <c:pt idx="6">
                  <c:v>2015年</c:v>
                </c:pt>
              </c:strCache>
            </c:strRef>
          </c:cat>
          <c:val>
            <c:numRef>
              <c:f>营业收入!$G$8:$M$8</c:f>
              <c:numCache>
                <c:formatCode>0%</c:formatCode>
                <c:ptCount val="7"/>
                <c:pt idx="0">
                  <c:v>0.86214099216710638</c:v>
                </c:pt>
                <c:pt idx="1">
                  <c:v>1.2162325863113281</c:v>
                </c:pt>
                <c:pt idx="2">
                  <c:v>0.86105577689243062</c:v>
                </c:pt>
                <c:pt idx="3">
                  <c:v>1.4378253325621608</c:v>
                </c:pt>
                <c:pt idx="4">
                  <c:v>1.1098149637972647</c:v>
                </c:pt>
                <c:pt idx="5">
                  <c:v>1.1018484958318231</c:v>
                </c:pt>
                <c:pt idx="6">
                  <c:v>0.97401315789473686</c:v>
                </c:pt>
              </c:numCache>
            </c:numRef>
          </c:val>
        </c:ser>
        <c:ser>
          <c:idx val="3"/>
          <c:order val="3"/>
          <c:tx>
            <c:strRef>
              <c:f>营业收入!$A$10</c:f>
              <c:strCache>
                <c:ptCount val="1"/>
                <c:pt idx="0">
                  <c:v>总承包收入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cat>
            <c:strRef>
              <c:f>营业收入!$G$2:$M$2</c:f>
              <c:strCache>
                <c:ptCount val="7"/>
                <c:pt idx="0">
                  <c:v>2009年</c:v>
                </c:pt>
                <c:pt idx="1">
                  <c:v>2010年</c:v>
                </c:pt>
                <c:pt idx="2">
                  <c:v>2011年</c:v>
                </c:pt>
                <c:pt idx="3">
                  <c:v>2012年</c:v>
                </c:pt>
                <c:pt idx="4">
                  <c:v>2013年</c:v>
                </c:pt>
                <c:pt idx="5">
                  <c:v>2014年</c:v>
                </c:pt>
                <c:pt idx="6">
                  <c:v>2015年</c:v>
                </c:pt>
              </c:strCache>
            </c:strRef>
          </c:cat>
          <c:val>
            <c:numRef>
              <c:f>营业收入!$G$10:$M$10</c:f>
              <c:numCache>
                <c:formatCode>0%</c:formatCode>
                <c:ptCount val="7"/>
                <c:pt idx="0">
                  <c:v>1.1382421065463979</c:v>
                </c:pt>
                <c:pt idx="1">
                  <c:v>1.1594730641533701</c:v>
                </c:pt>
                <c:pt idx="2">
                  <c:v>1.1476076113061149</c:v>
                </c:pt>
                <c:pt idx="3">
                  <c:v>1.7971667739858339</c:v>
                </c:pt>
                <c:pt idx="4">
                  <c:v>1.3697151558581153</c:v>
                </c:pt>
                <c:pt idx="5">
                  <c:v>1.3411699310074219</c:v>
                </c:pt>
                <c:pt idx="6">
                  <c:v>1.2084257746787921</c:v>
                </c:pt>
              </c:numCache>
            </c:numRef>
          </c:val>
        </c:ser>
        <c:marker val="1"/>
        <c:axId val="288504832"/>
        <c:axId val="288518912"/>
      </c:lineChart>
      <c:catAx>
        <c:axId val="288504832"/>
        <c:scaling>
          <c:orientation val="minMax"/>
        </c:scaling>
        <c:axPos val="b"/>
        <c:numFmt formatCode="General" sourceLinked="1"/>
        <c:majorTickMark val="none"/>
        <c:tickLblPos val="nextTo"/>
        <c:crossAx val="288518912"/>
        <c:crosses val="autoZero"/>
        <c:auto val="1"/>
        <c:lblAlgn val="ctr"/>
        <c:lblOffset val="100"/>
      </c:catAx>
      <c:valAx>
        <c:axId val="2885189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28850483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ysClr val="window" lastClr="FFFFFF">
            <a:lumMod val="85000"/>
          </a:sysClr>
        </a:solidFill>
        <a:ln>
          <a:solidFill>
            <a:sysClr val="windowText" lastClr="000000"/>
          </a:solidFill>
        </a:ln>
        <a:effectLst>
          <a:outerShdw blurRad="50800" dist="50800" dir="5400000" algn="ctr" rotWithShape="0">
            <a:schemeClr val="bg1"/>
          </a:outerShdw>
        </a:effectLst>
      </c:spPr>
    </c:plotArea>
    <c:plotVisOnly val="1"/>
    <c:dispBlanksAs val="gap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年末职工构成分析</a:t>
            </a:r>
          </a:p>
        </c:rich>
      </c:tx>
      <c:layout>
        <c:manualLayout>
          <c:xMode val="edge"/>
          <c:yMode val="edge"/>
          <c:x val="0.38071130103044976"/>
          <c:y val="3.9215663735463792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33164183395766816"/>
          <c:y val="0.41176628280592381"/>
          <c:w val="0.33841003465068098"/>
          <c:h val="0.30980510801588867"/>
        </c:manualLayout>
      </c:layout>
      <c:pie3DChart>
        <c:varyColors val="1"/>
        <c:ser>
          <c:idx val="0"/>
          <c:order val="0"/>
          <c:tx>
            <c:strRef>
              <c:f>人员总量分析!$C$3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6847222226918273E-2"/>
                  <c:y val="-6.786801328828580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2.6375358782114368E-2"/>
                  <c:y val="3.739795881865971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2.5310186480497043E-2"/>
                  <c:y val="0.1195911687509650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人员总量分析!$B$5:$B$7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人员总量分析!$C$5:$C$7</c:f>
              <c:numCache>
                <c:formatCode>General</c:formatCode>
                <c:ptCount val="3"/>
                <c:pt idx="0">
                  <c:v>8358</c:v>
                </c:pt>
                <c:pt idx="1">
                  <c:v>19408</c:v>
                </c:pt>
                <c:pt idx="2">
                  <c:v>5743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专业技术人员构成分析</a:t>
            </a:r>
          </a:p>
        </c:rich>
      </c:tx>
      <c:layout>
        <c:manualLayout>
          <c:xMode val="edge"/>
          <c:yMode val="edge"/>
          <c:x val="0.35537190082645143"/>
          <c:y val="3.5460992907801435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421487603306123"/>
          <c:y val="0.38652616123034134"/>
          <c:w val="0.41157024793388808"/>
          <c:h val="0.35106504552112622"/>
        </c:manualLayout>
      </c:layout>
      <c:pie3DChart>
        <c:varyColors val="1"/>
        <c:ser>
          <c:idx val="0"/>
          <c:order val="0"/>
          <c:tx>
            <c:strRef>
              <c:f>人员总量分析!$F$3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8096136743239135E-3"/>
                  <c:y val="-7.210101150035423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4.7046267976834123E-3"/>
                  <c:y val="8.8323085471436066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1.5612676514609441E-3"/>
                  <c:y val="3.1468914599308874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人员总量分析!$B$5:$B$7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人员总量分析!$F$5:$F$7</c:f>
              <c:numCache>
                <c:formatCode>General</c:formatCode>
                <c:ptCount val="3"/>
                <c:pt idx="0">
                  <c:v>7280</c:v>
                </c:pt>
                <c:pt idx="1">
                  <c:v>16110</c:v>
                </c:pt>
                <c:pt idx="2">
                  <c:v>4255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生产人员构成分析</a:t>
            </a:r>
          </a:p>
        </c:rich>
      </c:tx>
      <c:layout>
        <c:manualLayout>
          <c:xMode val="edge"/>
          <c:yMode val="edge"/>
          <c:x val="0.38423714277094678"/>
          <c:y val="3.4591194968553458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064086014608381"/>
          <c:y val="0.39622763189008847"/>
          <c:w val="0.42036192201919481"/>
          <c:h val="0.3207557020062588"/>
        </c:manualLayout>
      </c:layout>
      <c:pie3DChart>
        <c:varyColors val="1"/>
        <c:ser>
          <c:idx val="0"/>
          <c:order val="0"/>
          <c:tx>
            <c:strRef>
              <c:f>人员总量分析!$J$3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4033754669743759E-2"/>
                  <c:y val="-8.73157014593034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2.6513547599871148E-3"/>
                  <c:y val="4.324034556883669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1.4316902028613339E-2"/>
                  <c:y val="-3.8435411397215891E-3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人员总量分析!$B$5:$B$7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人员总量分析!$J$5:$J$7</c:f>
              <c:numCache>
                <c:formatCode>General</c:formatCode>
                <c:ptCount val="3"/>
                <c:pt idx="0">
                  <c:v>7017</c:v>
                </c:pt>
                <c:pt idx="1">
                  <c:v>15924</c:v>
                </c:pt>
                <c:pt idx="2">
                  <c:v>4329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注册执业人员构成分析</a:t>
            </a:r>
          </a:p>
        </c:rich>
      </c:tx>
      <c:layout>
        <c:manualLayout>
          <c:xMode val="edge"/>
          <c:yMode val="edge"/>
          <c:x val="0.35537190082645143"/>
          <c:y val="3.333333333333334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256198347107437"/>
          <c:y val="0.4030314957134698"/>
          <c:w val="0.41652892561984167"/>
          <c:h val="0.30303119978456666"/>
        </c:manualLayout>
      </c:layout>
      <c:pie3DChart>
        <c:varyColors val="1"/>
        <c:ser>
          <c:idx val="0"/>
          <c:order val="0"/>
          <c:tx>
            <c:strRef>
              <c:f>人员总量分析!$N$3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1254419643825692E-2"/>
                  <c:y val="-5.491372811528401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1.6043556538903703E-2"/>
                  <c:y val="6.0025103275569265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1.694453482570896E-2"/>
                  <c:y val="1.4364839947663363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人员总量分析!$B$5:$B$7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人员总量分析!$N$5:$N$7</c:f>
              <c:numCache>
                <c:formatCode>General</c:formatCode>
                <c:ptCount val="3"/>
                <c:pt idx="0">
                  <c:v>2367</c:v>
                </c:pt>
                <c:pt idx="1">
                  <c:v>5730</c:v>
                </c:pt>
                <c:pt idx="2">
                  <c:v>1180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专业技术职称柱状图</a:t>
            </a:r>
          </a:p>
        </c:rich>
      </c:tx>
      <c:layout>
        <c:manualLayout>
          <c:xMode val="edge"/>
          <c:yMode val="edge"/>
          <c:x val="0.38244514106583088"/>
          <c:y val="3.550295857988165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4921630094044209"/>
          <c:y val="0.18047337278106707"/>
          <c:w val="0.72884012539184961"/>
          <c:h val="0.40828402366863908"/>
        </c:manualLayout>
      </c:layout>
      <c:barChart>
        <c:barDir val="col"/>
        <c:grouping val="clustered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(技术人员分析!$C$6,技术人员分析!$F$6,技术人员分析!$J$6,技术人员分析!$N$6,技术人员分析!$R$6)</c:f>
              <c:numCache>
                <c:formatCode>General</c:formatCode>
                <c:ptCount val="5"/>
                <c:pt idx="0">
                  <c:v>27645</c:v>
                </c:pt>
                <c:pt idx="1">
                  <c:v>1942</c:v>
                </c:pt>
                <c:pt idx="2">
                  <c:v>10340</c:v>
                </c:pt>
                <c:pt idx="3">
                  <c:v>10372</c:v>
                </c:pt>
                <c:pt idx="4">
                  <c:v>4991</c:v>
                </c:pt>
              </c:numCache>
            </c:numRef>
          </c:val>
        </c:ser>
        <c:ser>
          <c:idx val="1"/>
          <c:order val="1"/>
          <c:tx>
            <c:strRef>
              <c:f>技术人员分析!$B$7</c:f>
              <c:strCache>
                <c:ptCount val="1"/>
                <c:pt idx="0">
                  <c:v>顾问集团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(技术人员分析!$C$7,技术人员分析!$F$7,技术人员分析!$J$7,技术人员分析!$N$7,技术人员分析!$R$7)</c:f>
              <c:numCache>
                <c:formatCode>General</c:formatCode>
                <c:ptCount val="5"/>
                <c:pt idx="0">
                  <c:v>7280</c:v>
                </c:pt>
                <c:pt idx="1">
                  <c:v>968</c:v>
                </c:pt>
                <c:pt idx="2">
                  <c:v>3333</c:v>
                </c:pt>
                <c:pt idx="3">
                  <c:v>2120</c:v>
                </c:pt>
                <c:pt idx="4">
                  <c:v>859</c:v>
                </c:pt>
              </c:numCache>
            </c:numRef>
          </c:val>
        </c:ser>
        <c:ser>
          <c:idx val="2"/>
          <c:order val="2"/>
          <c:tx>
            <c:strRef>
              <c:f>技术人员分析!$B$8</c:f>
              <c:strCache>
                <c:ptCount val="1"/>
                <c:pt idx="0">
                  <c:v>省级设计院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(技术人员分析!$C$8,技术人员分析!$F$8,技术人员分析!$J$8,技术人员分析!$N$8,技术人员分析!$R$8)</c:f>
              <c:numCache>
                <c:formatCode>General</c:formatCode>
                <c:ptCount val="5"/>
                <c:pt idx="0">
                  <c:v>16110</c:v>
                </c:pt>
                <c:pt idx="1">
                  <c:v>958</c:v>
                </c:pt>
                <c:pt idx="2">
                  <c:v>5871</c:v>
                </c:pt>
                <c:pt idx="3">
                  <c:v>6449</c:v>
                </c:pt>
                <c:pt idx="4">
                  <c:v>2832</c:v>
                </c:pt>
              </c:numCache>
            </c:numRef>
          </c:val>
        </c:ser>
        <c:ser>
          <c:idx val="3"/>
          <c:order val="3"/>
          <c:tx>
            <c:strRef>
              <c:f>技术人员分析!$B$9</c:f>
              <c:strCache>
                <c:ptCount val="1"/>
                <c:pt idx="0">
                  <c:v>供电及其它设计院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(技术人员分析!$C$9,技术人员分析!$F$9,技术人员分析!$J$9,技术人员分析!$N$9,技术人员分析!$R$9)</c:f>
              <c:numCache>
                <c:formatCode>General</c:formatCode>
                <c:ptCount val="5"/>
                <c:pt idx="0">
                  <c:v>4255</c:v>
                </c:pt>
                <c:pt idx="1">
                  <c:v>16</c:v>
                </c:pt>
                <c:pt idx="2">
                  <c:v>1136</c:v>
                </c:pt>
                <c:pt idx="3">
                  <c:v>1803</c:v>
                </c:pt>
                <c:pt idx="4">
                  <c:v>1300</c:v>
                </c:pt>
              </c:numCache>
            </c:numRef>
          </c:val>
        </c:ser>
        <c:axId val="288809344"/>
        <c:axId val="288810880"/>
      </c:barChart>
      <c:catAx>
        <c:axId val="288809344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810880"/>
        <c:crosses val="autoZero"/>
        <c:auto val="1"/>
        <c:lblAlgn val="ctr"/>
        <c:lblOffset val="100"/>
        <c:tickMarkSkip val="1"/>
      </c:catAx>
      <c:valAx>
        <c:axId val="2888108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88093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专业技术人员职称构成</a:t>
            </a:r>
          </a:p>
        </c:rich>
      </c:tx>
      <c:layout>
        <c:manualLayout>
          <c:xMode val="edge"/>
          <c:yMode val="edge"/>
          <c:x val="0.3589748637189657"/>
          <c:y val="3.666666666666668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7083375718925168"/>
          <c:y val="0.37000120443100393"/>
          <c:w val="0.45993661723854939"/>
          <c:h val="0.38000123698319327"/>
        </c:manualLayout>
      </c:layout>
      <c:pie3DChart>
        <c:varyColors val="1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4228777622892818E-2"/>
                  <c:y val="8.022015642693493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3.9598459895778787E-2"/>
                  <c:y val="9.068501887330655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2.1735377562060586E-2"/>
                  <c:y val="-3.315744374429897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3.5691898665984892E-2"/>
                  <c:y val="-2.8064457378912913E-3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(技术人员分析!$F$2,技术人员分析!$J$2,技术人员分析!$N$2,技术人员分析!$R$2)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(技术人员分析!$F$6,技术人员分析!$J$6,技术人员分析!$N$6,技术人员分析!$R$6)</c:f>
              <c:numCache>
                <c:formatCode>General</c:formatCode>
                <c:ptCount val="4"/>
                <c:pt idx="0">
                  <c:v>1942</c:v>
                </c:pt>
                <c:pt idx="1">
                  <c:v>10340</c:v>
                </c:pt>
                <c:pt idx="2">
                  <c:v>10372</c:v>
                </c:pt>
                <c:pt idx="3">
                  <c:v>4991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技术人员职称占比分析</a:t>
            </a:r>
          </a:p>
        </c:rich>
      </c:tx>
      <c:layout>
        <c:manualLayout>
          <c:xMode val="edge"/>
          <c:yMode val="edge"/>
          <c:x val="0.35667744430497234"/>
          <c:y val="3.459121085800104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7361563517915338"/>
          <c:y val="0.19182448845472341"/>
          <c:w val="0.70358306188924102"/>
          <c:h val="0.41195095061588138"/>
        </c:manualLayout>
      </c:layout>
      <c:barChart>
        <c:barDir val="col"/>
        <c:grouping val="clustered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(技术人员分析!$H$6,技术人员分析!$L$6,技术人员分析!$P$6,技术人员分析!$T$6)</c:f>
              <c:numCache>
                <c:formatCode>0%</c:formatCode>
                <c:ptCount val="4"/>
                <c:pt idx="0">
                  <c:v>7.0247784409477307E-2</c:v>
                </c:pt>
                <c:pt idx="1">
                  <c:v>0.37402785313800313</c:v>
                </c:pt>
                <c:pt idx="2" formatCode="0.00%">
                  <c:v>0.3751853861457799</c:v>
                </c:pt>
                <c:pt idx="3">
                  <c:v>0.18053897630674626</c:v>
                </c:pt>
              </c:numCache>
            </c:numRef>
          </c:val>
        </c:ser>
        <c:ser>
          <c:idx val="1"/>
          <c:order val="1"/>
          <c:tx>
            <c:strRef>
              <c:f>技术人员分析!$B$7</c:f>
              <c:strCache>
                <c:ptCount val="1"/>
                <c:pt idx="0">
                  <c:v>顾问集团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(技术人员分析!$H$7,技术人员分析!$L$7,技术人员分析!$P$7,技术人员分析!$T$7)</c:f>
              <c:numCache>
                <c:formatCode>0%</c:formatCode>
                <c:ptCount val="4"/>
                <c:pt idx="0">
                  <c:v>0.13296703296703538</c:v>
                </c:pt>
                <c:pt idx="1">
                  <c:v>0.45782967032967725</c:v>
                </c:pt>
                <c:pt idx="2">
                  <c:v>0.29120879120879434</c:v>
                </c:pt>
                <c:pt idx="3" formatCode="0.00%">
                  <c:v>0.11799450549450549</c:v>
                </c:pt>
              </c:numCache>
            </c:numRef>
          </c:val>
        </c:ser>
        <c:ser>
          <c:idx val="2"/>
          <c:order val="2"/>
          <c:tx>
            <c:strRef>
              <c:f>技术人员分析!$B$8</c:f>
              <c:strCache>
                <c:ptCount val="1"/>
                <c:pt idx="0">
                  <c:v>省级设计院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(技术人员分析!$H$8,技术人员分析!$L$8,技术人员分析!$P$8,技术人员分析!$T$8)</c:f>
              <c:numCache>
                <c:formatCode>0.0%</c:formatCode>
                <c:ptCount val="4"/>
                <c:pt idx="0">
                  <c:v>5.9466170080695532E-2</c:v>
                </c:pt>
                <c:pt idx="1">
                  <c:v>0.36443202979515832</c:v>
                </c:pt>
                <c:pt idx="2">
                  <c:v>0.40031036623215888</c:v>
                </c:pt>
                <c:pt idx="3">
                  <c:v>0.17579143389199664</c:v>
                </c:pt>
              </c:numCache>
            </c:numRef>
          </c:val>
        </c:ser>
        <c:ser>
          <c:idx val="3"/>
          <c:order val="3"/>
          <c:tx>
            <c:strRef>
              <c:f>技术人员分析!$B$9</c:f>
              <c:strCache>
                <c:ptCount val="1"/>
                <c:pt idx="0">
                  <c:v>供电及其它设计院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(技术人员分析!$H$9,技术人员分析!$L$9,技术人员分析!$P$9,技术人员分析!$T$9)</c:f>
              <c:numCache>
                <c:formatCode>0.0%</c:formatCode>
                <c:ptCount val="4"/>
                <c:pt idx="0">
                  <c:v>3.7602820211516288E-3</c:v>
                </c:pt>
                <c:pt idx="1">
                  <c:v>0.26698002350176281</c:v>
                </c:pt>
                <c:pt idx="2">
                  <c:v>0.42373678025851941</c:v>
                </c:pt>
                <c:pt idx="3">
                  <c:v>0.30552291421857042</c:v>
                </c:pt>
              </c:numCache>
            </c:numRef>
          </c:val>
        </c:ser>
        <c:axId val="289223040"/>
        <c:axId val="289224576"/>
      </c:barChart>
      <c:catAx>
        <c:axId val="289223040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224576"/>
        <c:crosses val="autoZero"/>
        <c:auto val="1"/>
        <c:lblAlgn val="ctr"/>
        <c:lblOffset val="100"/>
        <c:tickMarkSkip val="1"/>
      </c:catAx>
      <c:valAx>
        <c:axId val="289224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223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2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各类注册执业人员构成柱状图</a:t>
            </a:r>
          </a:p>
        </c:rich>
      </c:tx>
      <c:layout>
        <c:manualLayout>
          <c:xMode val="edge"/>
          <c:yMode val="edge"/>
          <c:x val="0.34951497013100025"/>
          <c:y val="3.395067629325886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6758060004404213"/>
          <c:y val="0.14285475332532591"/>
          <c:w val="0.77663749658412817"/>
          <c:h val="0.44810712220294496"/>
        </c:manualLayout>
      </c:layout>
      <c:barChart>
        <c:barDir val="col"/>
        <c:grouping val="clustered"/>
        <c:ser>
          <c:idx val="0"/>
          <c:order val="0"/>
          <c:tx>
            <c:strRef>
              <c:f>注册执业人员分析!$B$6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(注册执业人员分析!$C$2,注册执业人员分析!$F$2,注册执业人员分析!$J$2,注册执业人员分析!$N$2,注册执业人员分析!$R$2,注册执业人员分析!$V$2,注册执业人员分析!$Z$2,注册执业人员分析!$AD$2)</c:f>
              <c:strCache>
                <c:ptCount val="8"/>
                <c:pt idx="0">
                  <c:v>注册执业人员</c:v>
                </c:pt>
                <c:pt idx="1">
                  <c:v>注册建筑</c:v>
                </c:pt>
                <c:pt idx="2">
                  <c:v>注册结构</c:v>
                </c:pt>
                <c:pt idx="3">
                  <c:v>注册咨询</c:v>
                </c:pt>
                <c:pt idx="4">
                  <c:v>注册岩土</c:v>
                </c:pt>
                <c:pt idx="5">
                  <c:v>注册电气</c:v>
                </c:pt>
                <c:pt idx="6">
                  <c:v>注册其它</c:v>
                </c:pt>
                <c:pt idx="7">
                  <c:v>其它注册</c:v>
                </c:pt>
              </c:strCache>
            </c:strRef>
          </c:cat>
          <c:val>
            <c:numRef>
              <c:f>(注册执业人员分析!$C$6,注册执业人员分析!$F$6,注册执业人员分析!$J$6,注册执业人员分析!$N$6,注册执业人员分析!$R$6,注册执业人员分析!$V$6,注册执业人员分析!$Z$6,注册执业人员分析!$AD$6)</c:f>
              <c:numCache>
                <c:formatCode>General</c:formatCode>
                <c:ptCount val="8"/>
                <c:pt idx="0">
                  <c:v>9277</c:v>
                </c:pt>
                <c:pt idx="1">
                  <c:v>353</c:v>
                </c:pt>
                <c:pt idx="2">
                  <c:v>973</c:v>
                </c:pt>
                <c:pt idx="3">
                  <c:v>1800</c:v>
                </c:pt>
                <c:pt idx="4">
                  <c:v>350</c:v>
                </c:pt>
                <c:pt idx="5">
                  <c:v>1611</c:v>
                </c:pt>
                <c:pt idx="6">
                  <c:v>3624</c:v>
                </c:pt>
                <c:pt idx="7">
                  <c:v>566</c:v>
                </c:pt>
              </c:numCache>
            </c:numRef>
          </c:val>
        </c:ser>
        <c:ser>
          <c:idx val="1"/>
          <c:order val="1"/>
          <c:tx>
            <c:strRef>
              <c:f>注册执业人员分析!$B$7</c:f>
              <c:strCache>
                <c:ptCount val="1"/>
                <c:pt idx="0">
                  <c:v>顾问集团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(注册执业人员分析!$C$2,注册执业人员分析!$F$2,注册执业人员分析!$J$2,注册执业人员分析!$N$2,注册执业人员分析!$R$2,注册执业人员分析!$V$2,注册执业人员分析!$Z$2,注册执业人员分析!$AD$2)</c:f>
              <c:strCache>
                <c:ptCount val="8"/>
                <c:pt idx="0">
                  <c:v>注册执业人员</c:v>
                </c:pt>
                <c:pt idx="1">
                  <c:v>注册建筑</c:v>
                </c:pt>
                <c:pt idx="2">
                  <c:v>注册结构</c:v>
                </c:pt>
                <c:pt idx="3">
                  <c:v>注册咨询</c:v>
                </c:pt>
                <c:pt idx="4">
                  <c:v>注册岩土</c:v>
                </c:pt>
                <c:pt idx="5">
                  <c:v>注册电气</c:v>
                </c:pt>
                <c:pt idx="6">
                  <c:v>注册其它</c:v>
                </c:pt>
                <c:pt idx="7">
                  <c:v>其它注册</c:v>
                </c:pt>
              </c:strCache>
            </c:strRef>
          </c:cat>
          <c:val>
            <c:numRef>
              <c:f>(注册执业人员分析!$C$7,注册执业人员分析!$F$7,注册执业人员分析!$J$7,注册执业人员分析!$N$7,注册执业人员分析!$R$7,注册执业人员分析!$V$7,注册执业人员分析!$Z$7,注册执业人员分析!$AD$7)</c:f>
              <c:numCache>
                <c:formatCode>General</c:formatCode>
                <c:ptCount val="8"/>
                <c:pt idx="0">
                  <c:v>2367</c:v>
                </c:pt>
                <c:pt idx="1">
                  <c:v>78</c:v>
                </c:pt>
                <c:pt idx="2">
                  <c:v>261</c:v>
                </c:pt>
                <c:pt idx="3">
                  <c:v>327</c:v>
                </c:pt>
                <c:pt idx="4">
                  <c:v>88</c:v>
                </c:pt>
                <c:pt idx="5">
                  <c:v>357</c:v>
                </c:pt>
                <c:pt idx="6">
                  <c:v>1156</c:v>
                </c:pt>
                <c:pt idx="7">
                  <c:v>100</c:v>
                </c:pt>
              </c:numCache>
            </c:numRef>
          </c:val>
        </c:ser>
        <c:ser>
          <c:idx val="2"/>
          <c:order val="2"/>
          <c:tx>
            <c:strRef>
              <c:f>注册执业人员分析!$B$8</c:f>
              <c:strCache>
                <c:ptCount val="1"/>
                <c:pt idx="0">
                  <c:v>省级设计院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(注册执业人员分析!$C$2,注册执业人员分析!$F$2,注册执业人员分析!$J$2,注册执业人员分析!$N$2,注册执业人员分析!$R$2,注册执业人员分析!$V$2,注册执业人员分析!$Z$2,注册执业人员分析!$AD$2)</c:f>
              <c:strCache>
                <c:ptCount val="8"/>
                <c:pt idx="0">
                  <c:v>注册执业人员</c:v>
                </c:pt>
                <c:pt idx="1">
                  <c:v>注册建筑</c:v>
                </c:pt>
                <c:pt idx="2">
                  <c:v>注册结构</c:v>
                </c:pt>
                <c:pt idx="3">
                  <c:v>注册咨询</c:v>
                </c:pt>
                <c:pt idx="4">
                  <c:v>注册岩土</c:v>
                </c:pt>
                <c:pt idx="5">
                  <c:v>注册电气</c:v>
                </c:pt>
                <c:pt idx="6">
                  <c:v>注册其它</c:v>
                </c:pt>
                <c:pt idx="7">
                  <c:v>其它注册</c:v>
                </c:pt>
              </c:strCache>
            </c:strRef>
          </c:cat>
          <c:val>
            <c:numRef>
              <c:f>(注册执业人员分析!$C$8,注册执业人员分析!$F$8,注册执业人员分析!$J$8,注册执业人员分析!$N$8,注册执业人员分析!$R$8,注册执业人员分析!$V$8,注册执业人员分析!$Z$8,注册执业人员分析!$AD$8)</c:f>
              <c:numCache>
                <c:formatCode>General</c:formatCode>
                <c:ptCount val="8"/>
                <c:pt idx="0">
                  <c:v>5730</c:v>
                </c:pt>
                <c:pt idx="1">
                  <c:v>175</c:v>
                </c:pt>
                <c:pt idx="2">
                  <c:v>535</c:v>
                </c:pt>
                <c:pt idx="3">
                  <c:v>1095</c:v>
                </c:pt>
                <c:pt idx="4">
                  <c:v>262</c:v>
                </c:pt>
                <c:pt idx="5">
                  <c:v>917</c:v>
                </c:pt>
                <c:pt idx="6">
                  <c:v>2280</c:v>
                </c:pt>
                <c:pt idx="7">
                  <c:v>466</c:v>
                </c:pt>
              </c:numCache>
            </c:numRef>
          </c:val>
        </c:ser>
        <c:ser>
          <c:idx val="3"/>
          <c:order val="3"/>
          <c:tx>
            <c:strRef>
              <c:f>注册执业人员分析!$B$9</c:f>
              <c:strCache>
                <c:ptCount val="1"/>
                <c:pt idx="0">
                  <c:v>供电及其它设计院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(注册执业人员分析!$C$2,注册执业人员分析!$F$2,注册执业人员分析!$J$2,注册执业人员分析!$N$2,注册执业人员分析!$R$2,注册执业人员分析!$V$2,注册执业人员分析!$Z$2,注册执业人员分析!$AD$2)</c:f>
              <c:strCache>
                <c:ptCount val="8"/>
                <c:pt idx="0">
                  <c:v>注册执业人员</c:v>
                </c:pt>
                <c:pt idx="1">
                  <c:v>注册建筑</c:v>
                </c:pt>
                <c:pt idx="2">
                  <c:v>注册结构</c:v>
                </c:pt>
                <c:pt idx="3">
                  <c:v>注册咨询</c:v>
                </c:pt>
                <c:pt idx="4">
                  <c:v>注册岩土</c:v>
                </c:pt>
                <c:pt idx="5">
                  <c:v>注册电气</c:v>
                </c:pt>
                <c:pt idx="6">
                  <c:v>注册其它</c:v>
                </c:pt>
                <c:pt idx="7">
                  <c:v>其它注册</c:v>
                </c:pt>
              </c:strCache>
            </c:strRef>
          </c:cat>
          <c:val>
            <c:numRef>
              <c:f>(注册执业人员分析!$C$9,注册执业人员分析!$F$9,注册执业人员分析!$J$9,注册执业人员分析!$N$9,注册执业人员分析!$R$9,注册执业人员分析!$V$9,注册执业人员分析!$Z$9,注册执业人员分析!$AD$9)</c:f>
              <c:numCache>
                <c:formatCode>General</c:formatCode>
                <c:ptCount val="8"/>
                <c:pt idx="0">
                  <c:v>1180</c:v>
                </c:pt>
                <c:pt idx="1">
                  <c:v>100</c:v>
                </c:pt>
                <c:pt idx="2">
                  <c:v>177</c:v>
                </c:pt>
                <c:pt idx="3">
                  <c:v>378</c:v>
                </c:pt>
                <c:pt idx="4">
                  <c:v>0</c:v>
                </c:pt>
                <c:pt idx="5">
                  <c:v>337</c:v>
                </c:pt>
                <c:pt idx="6">
                  <c:v>188</c:v>
                </c:pt>
                <c:pt idx="7">
                  <c:v>0</c:v>
                </c:pt>
              </c:numCache>
            </c:numRef>
          </c:val>
        </c:ser>
        <c:axId val="289301632"/>
        <c:axId val="289303168"/>
      </c:barChart>
      <c:catAx>
        <c:axId val="289301632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303168"/>
        <c:crosses val="autoZero"/>
        <c:auto val="1"/>
        <c:lblAlgn val="ctr"/>
        <c:lblOffset val="100"/>
        <c:tickMarkSkip val="1"/>
      </c:catAx>
      <c:valAx>
        <c:axId val="28930316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301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 altLang="en-US" sz="1100"/>
              <a:t>注册执业人员类型构成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5550339071467696E-2"/>
          <c:y val="0.18009145083280015"/>
          <c:w val="0.79551382368283752"/>
          <c:h val="0.69682200102345693"/>
        </c:manualLayout>
      </c:layout>
      <c:pie3DChart>
        <c:varyColors val="1"/>
        <c:ser>
          <c:idx val="0"/>
          <c:order val="0"/>
          <c:dLbls>
            <c:dLbl>
              <c:idx val="1"/>
              <c:layout>
                <c:manualLayout>
                  <c:x val="6.4461407972858514E-2"/>
                  <c:y val="-5.3981106612685466E-2"/>
                </c:manualLayout>
              </c:layout>
              <c:dLblPos val="inEnd"/>
              <c:showVal val="1"/>
              <c:showCatName val="1"/>
              <c:showPercent val="1"/>
            </c:dLbl>
            <c:dLbl>
              <c:idx val="3"/>
              <c:layout>
                <c:manualLayout>
                  <c:x val="-3.3927056827820212E-3"/>
                  <c:y val="6.4777327935223269E-2"/>
                </c:manualLayout>
              </c:layout>
              <c:dLblPos val="inEnd"/>
              <c:showVal val="1"/>
              <c:showCatName val="1"/>
              <c:showPercent val="1"/>
            </c:dLbl>
            <c:dLbl>
              <c:idx val="4"/>
              <c:layout>
                <c:manualLayout>
                  <c:x val="-6.4461407972858514E-2"/>
                  <c:y val="5.3981106612685466E-2"/>
                </c:manualLayout>
              </c:layout>
              <c:dLblPos val="inEnd"/>
              <c:showVal val="1"/>
              <c:showCatName val="1"/>
              <c:showPercent val="1"/>
            </c:dLbl>
            <c:dLbl>
              <c:idx val="6"/>
              <c:layout>
                <c:manualLayout>
                  <c:x val="-3.1298904538341159E-2"/>
                  <c:y val="0.13654566764060153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inEnd"/>
            <c:showVal val="1"/>
            <c:showCatName val="1"/>
            <c:showPercent val="1"/>
          </c:dLbls>
          <c:cat>
            <c:strRef>
              <c:f>(注册执业人员分析!$F$13,注册执业人员分析!$J$13,注册执业人员分析!$N$13,注册执业人员分析!$R$13,注册执业人员分析!$V$13,注册执业人员分析!$Z$13,注册执业人员分析!$AD$13)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(注册执业人员分析!$F$17,注册执业人员分析!$J$17,注册执业人员分析!$N$17,注册执业人员分析!$R$17,注册执业人员分析!$V$17,注册执业人员分析!$Z$17,注册执业人员分析!$AD$17)</c:f>
              <c:numCache>
                <c:formatCode>General</c:formatCode>
                <c:ptCount val="7"/>
                <c:pt idx="0">
                  <c:v>367</c:v>
                </c:pt>
                <c:pt idx="1">
                  <c:v>935</c:v>
                </c:pt>
                <c:pt idx="2">
                  <c:v>1725</c:v>
                </c:pt>
                <c:pt idx="3">
                  <c:v>319</c:v>
                </c:pt>
                <c:pt idx="4">
                  <c:v>1362</c:v>
                </c:pt>
                <c:pt idx="5">
                  <c:v>3763</c:v>
                </c:pt>
                <c:pt idx="6">
                  <c:v>514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年以来行业新签合同业务构成情况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369594523954936E-2"/>
          <c:y val="0.34467063568273482"/>
          <c:w val="0.82162813709422589"/>
          <c:h val="0.624831206444041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8499065891872685E-2"/>
                  <c:y val="-9.5140583465405493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总承包合同额</a:t>
                    </a:r>
                    <a:r>
                      <a:rPr lang="en-US" altLang="zh-CN" sz="900" b="1"/>
                      <a:t>3240.61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77.88%</a:t>
                    </a:r>
                  </a:p>
                </c:rich>
              </c:tx>
              <c:dLblPos val="bestFit"/>
              <c:showLegendKey val="1"/>
            </c:dLbl>
            <c:dLbl>
              <c:idx val="1"/>
              <c:layout>
                <c:manualLayout>
                  <c:x val="-2.7613804563737812E-2"/>
                  <c:y val="2.848049100569738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勘测设计咨询合同额</a:t>
                    </a:r>
                    <a:r>
                      <a:rPr lang="en-US" altLang="zh-CN" sz="900" b="1"/>
                      <a:t>920.26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22.12%</a:t>
                    </a:r>
                  </a:p>
                </c:rich>
              </c:tx>
              <c:dLblPos val="bestFit"/>
              <c:showLegendKey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合同额!$P$3:$Q$3</c:f>
              <c:strCache>
                <c:ptCount val="2"/>
                <c:pt idx="0">
                  <c:v>总承包合同额（亿元）</c:v>
                </c:pt>
                <c:pt idx="1">
                  <c:v>勘测设计及咨询服务合同额（亿元）</c:v>
                </c:pt>
              </c:strCache>
            </c:strRef>
          </c:cat>
          <c:val>
            <c:numRef>
              <c:f>合同额!$P$4:$Q$4</c:f>
              <c:numCache>
                <c:formatCode>0.00_);[Red]\(0.00\)</c:formatCode>
                <c:ptCount val="2"/>
                <c:pt idx="0" formatCode="General">
                  <c:v>3240.6099999999997</c:v>
                </c:pt>
                <c:pt idx="1">
                  <c:v>920.26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各类注册执业人员占比柱状图</a:t>
            </a:r>
          </a:p>
        </c:rich>
      </c:tx>
      <c:layout>
        <c:manualLayout>
          <c:xMode val="edge"/>
          <c:yMode val="edge"/>
          <c:x val="0.33392852061717104"/>
          <c:y val="3.287667262451155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5"/>
          <c:y val="0.16164383561643841"/>
          <c:w val="0.72500000000000064"/>
          <c:h val="0.44426710464872521"/>
        </c:manualLayout>
      </c:layout>
      <c:barChart>
        <c:barDir val="col"/>
        <c:grouping val="clustered"/>
        <c:ser>
          <c:idx val="0"/>
          <c:order val="0"/>
          <c:tx>
            <c:strRef>
              <c:f>注册执业人员分析!$B$6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(注册执业人员分析!$H$3,注册执业人员分析!$L$3,注册执业人员分析!$P$3,注册执业人员分析!$T$3,注册执业人员分析!$X$3,注册执业人员分析!$AB$3)</c:f>
              <c:strCache>
                <c:ptCount val="6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</c:strCache>
            </c:strRef>
          </c:cat>
          <c:val>
            <c:numRef>
              <c:f>(注册执业人员分析!$H$6,注册执业人员分析!$L$6,注册执业人员分析!$P$6,注册执业人员分析!$T$6,注册执业人员分析!$X$6,注册执业人员分析!$AB$6)</c:f>
              <c:numCache>
                <c:formatCode>0%</c:formatCode>
                <c:ptCount val="6"/>
                <c:pt idx="0">
                  <c:v>3.8051094103697315E-2</c:v>
                </c:pt>
                <c:pt idx="1">
                  <c:v>0.10488304408752842</c:v>
                </c:pt>
                <c:pt idx="2">
                  <c:v>0.19402824188854156</c:v>
                </c:pt>
                <c:pt idx="3">
                  <c:v>3.7727713700549802E-2</c:v>
                </c:pt>
                <c:pt idx="4">
                  <c:v>0.1736552764902447</c:v>
                </c:pt>
                <c:pt idx="5">
                  <c:v>0.39064352700226673</c:v>
                </c:pt>
              </c:numCache>
            </c:numRef>
          </c:val>
        </c:ser>
        <c:ser>
          <c:idx val="1"/>
          <c:order val="1"/>
          <c:tx>
            <c:strRef>
              <c:f>注册执业人员分析!$B$7</c:f>
              <c:strCache>
                <c:ptCount val="1"/>
                <c:pt idx="0">
                  <c:v>顾问集团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(注册执业人员分析!$H$3,注册执业人员分析!$L$3,注册执业人员分析!$P$3,注册执业人员分析!$T$3,注册执业人员分析!$X$3,注册执业人员分析!$AB$3)</c:f>
              <c:strCache>
                <c:ptCount val="6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</c:strCache>
            </c:strRef>
          </c:cat>
          <c:val>
            <c:numRef>
              <c:f>(注册执业人员分析!$H$7,注册执业人员分析!$L$7,注册执业人员分析!$P$7,注册执业人员分析!$T$7,注册执业人员分析!$X$7,注册执业人员分析!$AB$7)</c:f>
              <c:numCache>
                <c:formatCode>0%</c:formatCode>
                <c:ptCount val="6"/>
                <c:pt idx="0">
                  <c:v>3.2953105196451206E-2</c:v>
                </c:pt>
                <c:pt idx="1">
                  <c:v>0.11026615969581749</c:v>
                </c:pt>
                <c:pt idx="2">
                  <c:v>0.13814955640050697</c:v>
                </c:pt>
                <c:pt idx="3">
                  <c:v>3.7177862272919901E-2</c:v>
                </c:pt>
                <c:pt idx="4">
                  <c:v>0.15082382762991117</c:v>
                </c:pt>
                <c:pt idx="5">
                  <c:v>0.48838191803971692</c:v>
                </c:pt>
              </c:numCache>
            </c:numRef>
          </c:val>
        </c:ser>
        <c:ser>
          <c:idx val="2"/>
          <c:order val="2"/>
          <c:tx>
            <c:strRef>
              <c:f>注册执业人员分析!$B$8</c:f>
              <c:strCache>
                <c:ptCount val="1"/>
                <c:pt idx="0">
                  <c:v>省级设计院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(注册执业人员分析!$H$3,注册执业人员分析!$L$3,注册执业人员分析!$P$3,注册执业人员分析!$T$3,注册执业人员分析!$X$3,注册执业人员分析!$AB$3)</c:f>
              <c:strCache>
                <c:ptCount val="6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</c:strCache>
            </c:strRef>
          </c:cat>
          <c:val>
            <c:numRef>
              <c:f>(注册执业人员分析!$H$8,注册执业人员分析!$L$8,注册执业人员分析!$P$8,注册执业人员分析!$T$8,注册执业人员分析!$X$8,注册执业人员分析!$AB$8)</c:f>
              <c:numCache>
                <c:formatCode>0%</c:formatCode>
                <c:ptCount val="6"/>
                <c:pt idx="0">
                  <c:v>3.0541012216405285E-2</c:v>
                </c:pt>
                <c:pt idx="1">
                  <c:v>9.3368237347294963E-2</c:v>
                </c:pt>
                <c:pt idx="2">
                  <c:v>0.19109947643979094</c:v>
                </c:pt>
                <c:pt idx="3">
                  <c:v>4.5724258289703314E-2</c:v>
                </c:pt>
                <c:pt idx="4">
                  <c:v>0.16003490401396164</c:v>
                </c:pt>
                <c:pt idx="5">
                  <c:v>0.39790575916230775</c:v>
                </c:pt>
              </c:numCache>
            </c:numRef>
          </c:val>
        </c:ser>
        <c:ser>
          <c:idx val="3"/>
          <c:order val="3"/>
          <c:tx>
            <c:strRef>
              <c:f>注册执业人员分析!$B$9</c:f>
              <c:strCache>
                <c:ptCount val="1"/>
                <c:pt idx="0">
                  <c:v>供电及其它设计院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(注册执业人员分析!$H$3,注册执业人员分析!$L$3,注册执业人员分析!$P$3,注册执业人员分析!$T$3,注册执业人员分析!$X$3,注册执业人员分析!$AB$3)</c:f>
              <c:strCache>
                <c:ptCount val="6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</c:strCache>
            </c:strRef>
          </c:cat>
          <c:val>
            <c:numRef>
              <c:f>(注册执业人员分析!$H$9,注册执业人员分析!$L$9,注册执业人员分析!$P$9,注册执业人员分析!$T$9,注册执业人员分析!$X$9,注册执业人员分析!$AB$9)</c:f>
              <c:numCache>
                <c:formatCode>0%</c:formatCode>
                <c:ptCount val="6"/>
                <c:pt idx="0">
                  <c:v>8.4745762711865749E-2</c:v>
                </c:pt>
                <c:pt idx="1">
                  <c:v>0.15000000000000024</c:v>
                </c:pt>
                <c:pt idx="2">
                  <c:v>0.32033898305085567</c:v>
                </c:pt>
                <c:pt idx="3">
                  <c:v>0</c:v>
                </c:pt>
                <c:pt idx="4">
                  <c:v>0.28559322033898304</c:v>
                </c:pt>
                <c:pt idx="5">
                  <c:v>0.15932203389830704</c:v>
                </c:pt>
              </c:numCache>
            </c:numRef>
          </c:val>
        </c:ser>
        <c:axId val="289496448"/>
        <c:axId val="289510528"/>
      </c:barChart>
      <c:catAx>
        <c:axId val="289496448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510528"/>
        <c:crosses val="autoZero"/>
        <c:auto val="1"/>
        <c:lblAlgn val="ctr"/>
        <c:lblOffset val="100"/>
        <c:tickMarkSkip val="1"/>
      </c:catAx>
      <c:valAx>
        <c:axId val="289510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2894964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975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/>
            </a:pPr>
            <a:r>
              <a:rPr lang="zh-CN" altLang="en-US" sz="1000"/>
              <a:t>各类业务境外合同额构成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142252265636608"/>
          <c:y val="0.30873526740716345"/>
          <c:w val="0.72745923153049485"/>
          <c:h val="0.6086442660014133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66CCFF"/>
              </a:solidFill>
            </c:spPr>
          </c:dPt>
          <c:dPt>
            <c:idx val="1"/>
            <c:spPr>
              <a:solidFill>
                <a:srgbClr val="9999FF"/>
              </a:solidFill>
            </c:spPr>
          </c:dPt>
          <c:dPt>
            <c:idx val="4"/>
            <c:spPr>
              <a:solidFill>
                <a:srgbClr val="993366"/>
              </a:solidFill>
            </c:spPr>
          </c:dPt>
          <c:dLbls>
            <c:dLbl>
              <c:idx val="0"/>
              <c:layout>
                <c:manualLayout>
                  <c:x val="-8.8525809273843251E-2"/>
                  <c:y val="0.1087365372431911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5.9191799138316084E-2"/>
                  <c:y val="0.1178707224334602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5.4574357450601733E-2"/>
                  <c:y val="9.485025398441172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3515599465161207"/>
                  <c:y val="0.2393369459996209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numFmt formatCode="0.00%" sourceLinked="0"/>
              <c:spPr/>
              <c:txPr>
                <a:bodyPr/>
                <a:lstStyle/>
                <a:p>
                  <a:pPr>
                    <a:defRPr sz="900" b="1"/>
                  </a:pPr>
                  <a:endParaRPr lang="zh-CN"/>
                </a:p>
              </c:txPr>
              <c:dLblPos val="bestFit"/>
              <c:showVal val="1"/>
              <c:showCatName val="1"/>
              <c:showPercent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(境外合同额隶属!$F$2,境外合同额隶属!$J$2,境外合同额隶属!$N$2,境外合同额隶属!$T$2,境外合同额隶属!$X$2,境外合同额隶属!$AB$2)</c:f>
              <c:strCache>
                <c:ptCount val="6"/>
                <c:pt idx="0">
                  <c:v>勘测</c:v>
                </c:pt>
                <c:pt idx="1">
                  <c:v>设计</c:v>
                </c:pt>
                <c:pt idx="2">
                  <c:v>咨询</c:v>
                </c:pt>
                <c:pt idx="3">
                  <c:v>监理</c:v>
                </c:pt>
                <c:pt idx="4">
                  <c:v>总承包</c:v>
                </c:pt>
                <c:pt idx="5">
                  <c:v>其它</c:v>
                </c:pt>
              </c:strCache>
            </c:strRef>
          </c:cat>
          <c:val>
            <c:numRef>
              <c:f>(境外合同额隶属!$F$5,境外合同额隶属!$J$5,境外合同额隶属!$N$5,境外合同额隶属!$T$5,境外合同额隶属!$X$5,境外合同额隶属!$AB$5)</c:f>
              <c:numCache>
                <c:formatCode>General</c:formatCode>
                <c:ptCount val="6"/>
                <c:pt idx="0">
                  <c:v>10338</c:v>
                </c:pt>
                <c:pt idx="1">
                  <c:v>125516</c:v>
                </c:pt>
                <c:pt idx="2">
                  <c:v>5434</c:v>
                </c:pt>
                <c:pt idx="3">
                  <c:v>6615</c:v>
                </c:pt>
                <c:pt idx="4">
                  <c:v>2652524</c:v>
                </c:pt>
                <c:pt idx="5">
                  <c:v>753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/>
      </a:pPr>
      <a:endParaRPr lang="zh-CN"/>
    </a:p>
  </c:txPr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style val="18"/>
  <c:chart>
    <c:title>
      <c:tx>
        <c:rich>
          <a:bodyPr/>
          <a:lstStyle/>
          <a:p>
            <a:pPr>
              <a:defRPr sz="1000"/>
            </a:pPr>
            <a:r>
              <a:rPr lang="zh-CN" sz="1000"/>
              <a:t>境外合同额构成分析</a:t>
            </a:r>
            <a:endParaRPr lang="en-US" sz="1000"/>
          </a:p>
          <a:p>
            <a:pPr>
              <a:defRPr sz="1000"/>
            </a:pPr>
            <a:r>
              <a:rPr lang="zh-CN" sz="1000"/>
              <a:t>（按单位隶属级别）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3567251461988306E-3"/>
          <c:y val="0.28345764357845932"/>
          <c:w val="0.95730468876575558"/>
          <c:h val="0.65826097425895169"/>
        </c:manualLayout>
      </c:layout>
      <c:pie3DChart>
        <c:varyColors val="1"/>
        <c:ser>
          <c:idx val="0"/>
          <c:order val="0"/>
          <c:dPt>
            <c:idx val="0"/>
            <c:explosion val="4"/>
          </c:dPt>
          <c:dPt>
            <c:idx val="1"/>
            <c:explosion val="25"/>
          </c:dPt>
          <c:dLbls>
            <c:dLbl>
              <c:idx val="0"/>
              <c:layout>
                <c:manualLayout>
                  <c:x val="-0.15999048556430881"/>
                  <c:y val="6.316746864975211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23966122290269271"/>
                  <c:y val="-0.1158009833923594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境外合同额隶属!$B$6:$B$8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境外合同额隶属!$C$6:$C$8</c:f>
              <c:numCache>
                <c:formatCode>General</c:formatCode>
                <c:ptCount val="3"/>
                <c:pt idx="0">
                  <c:v>1156305</c:v>
                </c:pt>
                <c:pt idx="1">
                  <c:v>1644874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 sz="1000"/>
              <a:t>勘测境外合同额构成分析</a:t>
            </a:r>
            <a:endParaRPr lang="en-US" sz="1000"/>
          </a:p>
          <a:p>
            <a:pPr>
              <a:defRPr/>
            </a:pPr>
            <a:r>
              <a:rPr lang="zh-CN" sz="1000"/>
              <a:t>（按单位隶属级别）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7164251527382562E-3"/>
          <c:y val="0.23604362561475917"/>
          <c:w val="0.9972835748472475"/>
          <c:h val="0.6961975384145016"/>
        </c:manualLayout>
      </c:layout>
      <c:pie3DChart>
        <c:varyColors val="1"/>
        <c:ser>
          <c:idx val="0"/>
          <c:order val="0"/>
          <c:tx>
            <c:strRef>
              <c:f>境外合同额隶属!$F$2</c:f>
              <c:strCache>
                <c:ptCount val="1"/>
                <c:pt idx="0">
                  <c:v>勘测</c:v>
                </c:pt>
              </c:strCache>
            </c:strRef>
          </c:tx>
          <c:dPt>
            <c:idx val="0"/>
            <c:explosion val="44"/>
          </c:dPt>
          <c:dLbls>
            <c:dLbl>
              <c:idx val="0"/>
              <c:layout>
                <c:manualLayout>
                  <c:x val="-0.16311753635297196"/>
                  <c:y val="-0.1547878787878802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8.2807976977154377E-2"/>
                  <c:y val="0.2727291815795753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(境外合同额隶属!$B$6,境外合同额隶属!$B$7,境外合同额隶属!$B$8)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(境外合同额隶属!$F$6,境外合同额隶属!$F$7,境外合同额隶属!$F$8)</c:f>
              <c:numCache>
                <c:formatCode>General</c:formatCode>
                <c:ptCount val="3"/>
                <c:pt idx="0">
                  <c:v>5760</c:v>
                </c:pt>
                <c:pt idx="1">
                  <c:v>4578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/>
            </a:pPr>
            <a:r>
              <a:rPr lang="zh-CN" sz="1000"/>
              <a:t>设计境外合同额构成分析</a:t>
            </a:r>
            <a:endParaRPr lang="en-US" sz="1000"/>
          </a:p>
          <a:p>
            <a:pPr>
              <a:defRPr sz="1000"/>
            </a:pPr>
            <a:r>
              <a:rPr lang="zh-CN" sz="1000"/>
              <a:t>（按单位隶属级别）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境外合同额隶属!$J$2</c:f>
              <c:strCache>
                <c:ptCount val="1"/>
                <c:pt idx="0">
                  <c:v>设计</c:v>
                </c:pt>
              </c:strCache>
            </c:strRef>
          </c:tx>
          <c:dPt>
            <c:idx val="0"/>
            <c:explosion val="17"/>
          </c:dPt>
          <c:dLbls>
            <c:dLbl>
              <c:idx val="0"/>
              <c:layout>
                <c:manualLayout>
                  <c:x val="-0.23192982456140546"/>
                  <c:y val="-0.1345117869440632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20227545241055395"/>
                  <c:y val="6.261552168364280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(境外合同额隶属!$B$6,境外合同额隶属!$B$7,境外合同额隶属!$B$8)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(境外合同额隶属!$J$6,境外合同额隶属!$J$7,境外合同额隶属!$J$8)</c:f>
              <c:numCache>
                <c:formatCode>General</c:formatCode>
                <c:ptCount val="3"/>
                <c:pt idx="0">
                  <c:v>83597</c:v>
                </c:pt>
                <c:pt idx="1">
                  <c:v>41919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/>
            </a:pPr>
            <a:r>
              <a:rPr lang="zh-CN" altLang="en-US" sz="1000"/>
              <a:t>咨询</a:t>
            </a:r>
            <a:r>
              <a:rPr lang="zh-CN" sz="1000" b="1" i="0" baseline="0"/>
              <a:t>境外合同额构成分析</a:t>
            </a:r>
            <a:endParaRPr lang="en-US" sz="1000" b="1" i="0" baseline="0"/>
          </a:p>
          <a:p>
            <a:pPr>
              <a:defRPr sz="1000"/>
            </a:pPr>
            <a:r>
              <a:rPr lang="zh-CN" sz="1000" b="1" i="0" baseline="0"/>
              <a:t>（按单位隶属级别）</a:t>
            </a:r>
            <a:endParaRPr lang="zh-CN" sz="10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境外合同额隶属!$N$2</c:f>
              <c:strCache>
                <c:ptCount val="1"/>
                <c:pt idx="0">
                  <c:v>咨询</c:v>
                </c:pt>
              </c:strCache>
            </c:strRef>
          </c:tx>
          <c:dLbls>
            <c:dLbl>
              <c:idx val="0"/>
              <c:delete val="1"/>
            </c:dLbl>
            <c:dLbl>
              <c:idx val="1"/>
              <c:layout>
                <c:manualLayout>
                  <c:x val="-3.2185537152683602E-2"/>
                  <c:y val="-0.22801619433198494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(境外合同额隶属!$B$6,境外合同额隶属!$B$7,境外合同额隶属!$B$8)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(境外合同额隶属!$N$6,境外合同额隶属!$N$7,境外合同额隶属!$N$8)</c:f>
              <c:numCache>
                <c:formatCode>General</c:formatCode>
                <c:ptCount val="3"/>
                <c:pt idx="0">
                  <c:v>248</c:v>
                </c:pt>
                <c:pt idx="1">
                  <c:v>5186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/>
            </a:pPr>
            <a:r>
              <a:rPr lang="zh-CN" sz="1000"/>
              <a:t>总承包境外合同额构成分析</a:t>
            </a:r>
            <a:endParaRPr lang="en-US" sz="1000"/>
          </a:p>
          <a:p>
            <a:pPr>
              <a:defRPr sz="1000"/>
            </a:pPr>
            <a:r>
              <a:rPr lang="zh-CN" sz="1000"/>
              <a:t>（按单位隶属级别）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境外合同额隶属!$X$2</c:f>
              <c:strCache>
                <c:ptCount val="1"/>
                <c:pt idx="0">
                  <c:v>总承包</c:v>
                </c:pt>
              </c:strCache>
            </c:strRef>
          </c:tx>
          <c:dPt>
            <c:idx val="1"/>
            <c:explosion val="20"/>
          </c:dPt>
          <c:dLbls>
            <c:dLbl>
              <c:idx val="0"/>
              <c:layout>
                <c:manualLayout>
                  <c:x val="-0.12463309273840772"/>
                  <c:y val="9.0289442986294266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27049596309111884"/>
                  <c:y val="-0.13890709158985629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delete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(境外合同额隶属!$B$6,境外合同额隶属!$B$7,境外合同额隶属!$B$8)</c:f>
              <c:strCache>
                <c:ptCount val="3"/>
                <c:pt idx="0">
                  <c:v>顾问集团</c:v>
                </c:pt>
                <c:pt idx="1">
                  <c:v>省级设计院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(境外合同额隶属!$X$6,境外合同额隶属!$X$7,境外合同额隶属!$X$8)</c:f>
              <c:numCache>
                <c:formatCode>General</c:formatCode>
                <c:ptCount val="3"/>
                <c:pt idx="0">
                  <c:v>1060085</c:v>
                </c:pt>
                <c:pt idx="1">
                  <c:v>1592439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txPr>
    <a:bodyPr/>
    <a:lstStyle/>
    <a:p>
      <a:pPr>
        <a:defRPr sz="1000"/>
      </a:pPr>
      <a:endParaRPr lang="zh-CN"/>
    </a:p>
  </c:txPr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各业务类型完成产值构成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0525990373652273"/>
          <c:y val="0.30581742960096503"/>
          <c:w val="0.78948019252695456"/>
          <c:h val="0.6290715779171676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2.8814459417062663E-2"/>
                  <c:y val="-0.29825036700921337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4.195679621679943E-2"/>
                  <c:y val="2.3883179856755202E-2"/>
                </c:manualLayout>
              </c:layout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CatName val="1"/>
            <c:showPercent val="1"/>
            <c:showLeaderLines val="1"/>
          </c:dLbls>
          <c:cat>
            <c:strRef>
              <c:f>(隶属关系!$F$2,隶属关系!$J$2,隶属关系!$N$2,隶属关系!$T$2,隶属关系!$X$2,隶属关系!$AB$2)</c:f>
              <c:strCache>
                <c:ptCount val="6"/>
                <c:pt idx="0">
                  <c:v>勘测</c:v>
                </c:pt>
                <c:pt idx="1">
                  <c:v>设计</c:v>
                </c:pt>
                <c:pt idx="2">
                  <c:v>咨询</c:v>
                </c:pt>
                <c:pt idx="3">
                  <c:v>监理</c:v>
                </c:pt>
                <c:pt idx="4">
                  <c:v>项目管理</c:v>
                </c:pt>
                <c:pt idx="5">
                  <c:v>其它</c:v>
                </c:pt>
              </c:strCache>
            </c:strRef>
          </c:cat>
          <c:val>
            <c:numRef>
              <c:f>(隶属关系!$F$5,隶属关系!$J$5,隶属关系!$N$5,隶属关系!$T$5,隶属关系!$X$5,隶属关系!$AB$5)</c:f>
              <c:numCache>
                <c:formatCode>General</c:formatCode>
                <c:ptCount val="6"/>
                <c:pt idx="0">
                  <c:v>314039</c:v>
                </c:pt>
                <c:pt idx="1">
                  <c:v>1612232</c:v>
                </c:pt>
                <c:pt idx="2">
                  <c:v>262531</c:v>
                </c:pt>
                <c:pt idx="3">
                  <c:v>51512</c:v>
                </c:pt>
                <c:pt idx="4">
                  <c:v>202211</c:v>
                </c:pt>
                <c:pt idx="5">
                  <c:v>10421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2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     完成总产值构成分析</a:t>
            </a:r>
          </a:p>
        </c:rich>
      </c:tx>
      <c:layout>
        <c:manualLayout>
          <c:xMode val="edge"/>
          <c:yMode val="edge"/>
          <c:x val="0.18744240303295731"/>
          <c:y val="8.1755843511689047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7783941239257123E-2"/>
          <c:y val="0.23055944778556384"/>
          <c:w val="0.83942734430923349"/>
          <c:h val="0.73254279782191356"/>
        </c:manualLayout>
      </c:layout>
      <c:pie3DChart>
        <c:varyColors val="1"/>
        <c:ser>
          <c:idx val="0"/>
          <c:order val="0"/>
          <c:tx>
            <c:strRef>
              <c:f>隶属关系!$C$4</c:f>
              <c:strCache>
                <c:ptCount val="1"/>
                <c:pt idx="0">
                  <c:v>产值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8830593544228269"/>
                  <c:y val="-5.6399859466385545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27897837331737668"/>
                  <c:y val="-0.14340711348089608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8.1064910745805893E-2"/>
                  <c:y val="0.10392295451257569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隶属关系!$B$6:$B$8</c:f>
              <c:strCache>
                <c:ptCount val="3"/>
                <c:pt idx="0">
                  <c:v>顾问集团</c:v>
                </c:pt>
                <c:pt idx="1">
                  <c:v>省属设计院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隶属关系!$C$6:$C$8</c:f>
              <c:numCache>
                <c:formatCode>General</c:formatCode>
                <c:ptCount val="3"/>
                <c:pt idx="0">
                  <c:v>722050</c:v>
                </c:pt>
                <c:pt idx="1">
                  <c:v>1385693</c:v>
                </c:pt>
                <c:pt idx="2">
                  <c:v>345202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       勘测产值构成分析</a:t>
            </a:r>
          </a:p>
        </c:rich>
      </c:tx>
      <c:layout>
        <c:manualLayout>
          <c:xMode val="edge"/>
          <c:yMode val="edge"/>
          <c:x val="9.6305339354194566E-2"/>
          <c:y val="4.1365259670410048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5.1164613068899516E-2"/>
          <c:y val="0.20038939804655564"/>
          <c:w val="0.85406098012964449"/>
          <c:h val="0.73884256271244786"/>
        </c:manualLayout>
      </c:layout>
      <c:pie3DChart>
        <c:varyColors val="1"/>
        <c:ser>
          <c:idx val="0"/>
          <c:order val="0"/>
          <c:tx>
            <c:strRef>
              <c:f>隶属关系!$F$4</c:f>
              <c:strCache>
                <c:ptCount val="1"/>
                <c:pt idx="0">
                  <c:v>产值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5456601049868771"/>
                  <c:y val="8.7838061338223767E-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10914883478182009"/>
                  <c:y val="-0.1547274213674135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4765451148577605"/>
                  <c:y val="0.1781868250075298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隶属关系!$B$6:$B$8</c:f>
              <c:strCache>
                <c:ptCount val="3"/>
                <c:pt idx="0">
                  <c:v>顾问集团</c:v>
                </c:pt>
                <c:pt idx="1">
                  <c:v>省属设计院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隶属关系!$F$6:$F$8</c:f>
              <c:numCache>
                <c:formatCode>General</c:formatCode>
                <c:ptCount val="3"/>
                <c:pt idx="0">
                  <c:v>104535</c:v>
                </c:pt>
                <c:pt idx="1">
                  <c:v>185180</c:v>
                </c:pt>
                <c:pt idx="2">
                  <c:v>24324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年以来行业新签合同总额中各企业集团构成情况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3887554309948514E-2"/>
          <c:y val="0.29323046312759332"/>
          <c:w val="0.82276846804405868"/>
          <c:h val="0.60076252723311563"/>
        </c:manualLayout>
      </c:layout>
      <c:pie3DChart>
        <c:varyColors val="1"/>
        <c:ser>
          <c:idx val="0"/>
          <c:order val="0"/>
          <c:tx>
            <c:strRef>
              <c:f>合同额!$O$20</c:f>
              <c:strCache>
                <c:ptCount val="1"/>
                <c:pt idx="0">
                  <c:v>合同额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1535.27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36.90%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1"/>
              <c:layout>
                <c:manualLayout>
                  <c:x val="0.27071563088512229"/>
                  <c:y val="-2.6881720430107652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1183.81 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28.45%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647.84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15.57%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793.95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19.08%</a:t>
                    </a:r>
                  </a:p>
                </c:rich>
              </c:tx>
              <c:dLblPos val="outEnd"/>
              <c:showLegendKey val="1"/>
              <c:showVal val="1"/>
              <c:showCatName val="1"/>
              <c:showPercent val="1"/>
              <c:separator>; </c:separator>
            </c:dLbl>
            <c:numFmt formatCode="0.00%" sourceLinked="0"/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LegendKey val="1"/>
            <c:showVal val="1"/>
            <c:showCatName val="1"/>
            <c:showPercent val="1"/>
            <c:separator>; </c:separator>
          </c:dLbls>
          <c:cat>
            <c:strRef>
              <c:f>合同额!$P$19:$S$19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合同额!$P$20:$S$20</c:f>
              <c:numCache>
                <c:formatCode>0.00_);[Red]\(0.00\)</c:formatCode>
                <c:ptCount val="4"/>
                <c:pt idx="0">
                  <c:v>1535.27</c:v>
                </c:pt>
                <c:pt idx="1">
                  <c:v>1183.81</c:v>
                </c:pt>
                <c:pt idx="2">
                  <c:v>647.83999999999946</c:v>
                </c:pt>
                <c:pt idx="3">
                  <c:v>793.94999999999948</c:v>
                </c:pt>
              </c:numCache>
            </c:numRef>
          </c:val>
        </c:ser>
        <c:ser>
          <c:idx val="1"/>
          <c:order val="1"/>
          <c:tx>
            <c:strRef>
              <c:f>合同额!$O$21</c:f>
              <c:strCache>
                <c:ptCount val="1"/>
                <c:pt idx="0">
                  <c:v>占比</c:v>
                </c:pt>
              </c:strCache>
            </c:strRef>
          </c:tx>
          <c:explosion val="25"/>
          <c:dLbls>
            <c:dLblPos val="outEnd"/>
            <c:showVal val="1"/>
          </c:dLbls>
          <c:cat>
            <c:strRef>
              <c:f>合同额!$P$19:$S$19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合同额!$P$21:$S$21</c:f>
              <c:numCache>
                <c:formatCode>0.00%</c:formatCode>
                <c:ptCount val="4"/>
                <c:pt idx="0">
                  <c:v>0.36897812236383776</c:v>
                </c:pt>
                <c:pt idx="1">
                  <c:v>0.28451021060499382</c:v>
                </c:pt>
                <c:pt idx="2">
                  <c:v>0.15569820734605991</c:v>
                </c:pt>
                <c:pt idx="3">
                  <c:v>0.19081345968511396</c:v>
                </c:pt>
              </c:numCache>
            </c:numRef>
          </c:val>
        </c:ser>
        <c:ser>
          <c:idx val="2"/>
          <c:order val="2"/>
          <c:tx>
            <c:strRef>
              <c:f>合同额!$O$22</c:f>
              <c:strCache>
                <c:ptCount val="1"/>
                <c:pt idx="0">
                  <c:v>增速</c:v>
                </c:pt>
              </c:strCache>
            </c:strRef>
          </c:tx>
          <c:explosion val="25"/>
          <c:dLbls>
            <c:dLblPos val="outEnd"/>
            <c:showVal val="1"/>
          </c:dLbls>
          <c:cat>
            <c:strRef>
              <c:f>合同额!$P$19:$S$19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合同额!$P$22:$S$22</c:f>
              <c:numCache>
                <c:formatCode>0.00%</c:formatCode>
                <c:ptCount val="4"/>
                <c:pt idx="0">
                  <c:v>9.4500000000000264E-2</c:v>
                </c:pt>
                <c:pt idx="1">
                  <c:v>5.6300000000000003E-2</c:v>
                </c:pt>
                <c:pt idx="2">
                  <c:v>0.43530000000000396</c:v>
                </c:pt>
                <c:pt idx="3">
                  <c:v>0.20960000000000001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设计产值构成分析</a:t>
            </a:r>
          </a:p>
        </c:rich>
      </c:tx>
      <c:layout>
        <c:manualLayout>
          <c:xMode val="edge"/>
          <c:yMode val="edge"/>
          <c:x val="0.31055519530647258"/>
          <c:y val="9.0601816365875068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6.7050627170187324E-2"/>
          <c:y val="0.3959302146055273"/>
          <c:w val="0.8410876402489349"/>
          <c:h val="0.52506274451542556"/>
        </c:manualLayout>
      </c:layout>
      <c:pie3DChart>
        <c:varyColors val="1"/>
        <c:ser>
          <c:idx val="0"/>
          <c:order val="0"/>
          <c:tx>
            <c:strRef>
              <c:f>隶属关系!$J$2</c:f>
              <c:strCache>
                <c:ptCount val="1"/>
                <c:pt idx="0">
                  <c:v>设计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7413486203743109"/>
                  <c:y val="-1.155252652241999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29007992981047753"/>
                  <c:y val="-8.161053397737051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7.8738075587577047E-2"/>
                  <c:y val="5.1049648205738957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隶属关系!$B$6:$B$8</c:f>
              <c:strCache>
                <c:ptCount val="3"/>
                <c:pt idx="0">
                  <c:v>顾问集团</c:v>
                </c:pt>
                <c:pt idx="1">
                  <c:v>省属设计院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隶属关系!$J$6:$J$8</c:f>
              <c:numCache>
                <c:formatCode>General</c:formatCode>
                <c:ptCount val="3"/>
                <c:pt idx="0">
                  <c:v>430499</c:v>
                </c:pt>
                <c:pt idx="1">
                  <c:v>886843</c:v>
                </c:pt>
                <c:pt idx="2">
                  <c:v>294890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   咨询产值构成分析</a:t>
            </a:r>
          </a:p>
        </c:rich>
      </c:tx>
      <c:layout>
        <c:manualLayout>
          <c:xMode val="edge"/>
          <c:yMode val="edge"/>
          <c:x val="0.19020755936665185"/>
          <c:y val="5.7398658501020834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1751832207917629E-2"/>
          <c:y val="0.2197021579188092"/>
          <c:w val="0.80901827924328462"/>
          <c:h val="0.70517532087844892"/>
        </c:manualLayout>
      </c:layout>
      <c:pie3DChart>
        <c:varyColors val="1"/>
        <c:ser>
          <c:idx val="0"/>
          <c:order val="0"/>
          <c:tx>
            <c:strRef>
              <c:f>隶属关系!$N$4</c:f>
              <c:strCache>
                <c:ptCount val="1"/>
                <c:pt idx="0">
                  <c:v>产值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3491685942817991"/>
                  <c:y val="2.513221791203392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15233595800524941"/>
                  <c:y val="-0.1353325242211146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5792393903284568"/>
                  <c:y val="0.20176105850153594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隶属关系!$B$6:$B$8</c:f>
              <c:strCache>
                <c:ptCount val="3"/>
                <c:pt idx="0">
                  <c:v>顾问集团</c:v>
                </c:pt>
                <c:pt idx="1">
                  <c:v>省属设计院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隶属关系!$N$6:$N$8</c:f>
              <c:numCache>
                <c:formatCode>General</c:formatCode>
                <c:ptCount val="3"/>
                <c:pt idx="0">
                  <c:v>75599</c:v>
                </c:pt>
                <c:pt idx="1">
                  <c:v>163341</c:v>
                </c:pt>
                <c:pt idx="2">
                  <c:v>23591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监理产值构成分析</a:t>
            </a:r>
          </a:p>
        </c:rich>
      </c:tx>
      <c:layout>
        <c:manualLayout>
          <c:xMode val="edge"/>
          <c:yMode val="edge"/>
          <c:x val="0.27672515712983947"/>
          <c:y val="3.5558091470450255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0217123453040212"/>
          <c:y val="0.22871467153562344"/>
          <c:w val="0.81148469200993789"/>
          <c:h val="0.7520438206093929"/>
        </c:manualLayout>
      </c:layout>
      <c:pie3DChart>
        <c:varyColors val="1"/>
        <c:ser>
          <c:idx val="0"/>
          <c:order val="0"/>
          <c:tx>
            <c:strRef>
              <c:f>隶属关系!$T$4</c:f>
              <c:strCache>
                <c:ptCount val="1"/>
                <c:pt idx="0">
                  <c:v>产值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176281377290748E-2"/>
                  <c:y val="6.160041589004273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2.7884763662702452E-2"/>
                  <c:y val="-0.1149875106191422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1.6881702843524381E-2"/>
                  <c:y val="0.1603038026043846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(隶属关系!$B$6,隶属关系!$B$7,隶属关系!$B$8)</c:f>
              <c:strCache>
                <c:ptCount val="3"/>
                <c:pt idx="0">
                  <c:v>顾问集团</c:v>
                </c:pt>
                <c:pt idx="1">
                  <c:v>省属设计院</c:v>
                </c:pt>
                <c:pt idx="2">
                  <c:v>供电及其它设计院</c:v>
                </c:pt>
              </c:strCache>
            </c:strRef>
          </c:cat>
          <c:val>
            <c:numRef>
              <c:f>(隶属关系!$T$6,隶属关系!$T$7,隶属关系!$T$8)</c:f>
              <c:numCache>
                <c:formatCode>General</c:formatCode>
                <c:ptCount val="3"/>
                <c:pt idx="0">
                  <c:v>1997</c:v>
                </c:pt>
                <c:pt idx="1">
                  <c:v>29144</c:v>
                </c:pt>
                <c:pt idx="2">
                  <c:v>2397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年末职工构成分析</a:t>
            </a:r>
          </a:p>
        </c:rich>
      </c:tx>
      <c:layout>
        <c:manualLayout>
          <c:xMode val="edge"/>
          <c:yMode val="edge"/>
          <c:x val="0.36520131580906184"/>
          <c:y val="3.9215686274509803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30975172322363032"/>
          <c:y val="0.41176628280592381"/>
          <c:w val="0.38049748716977333"/>
          <c:h val="0.3098051080158884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2.8664455829711034E-2"/>
                  <c:y val="-6.843741270159438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1.0166647457143616E-2"/>
                  <c:y val="5.472293334074641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6.380532163515594E-2"/>
                  <c:y val="4.7014823010809954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人员总量分析!$B$5:$B$8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人员总量分析!$C$5:$C$8</c:f>
              <c:numCache>
                <c:formatCode>General</c:formatCode>
                <c:ptCount val="4"/>
                <c:pt idx="0">
                  <c:v>8358</c:v>
                </c:pt>
                <c:pt idx="1">
                  <c:v>9224</c:v>
                </c:pt>
                <c:pt idx="2">
                  <c:v>5350</c:v>
                </c:pt>
                <c:pt idx="3">
                  <c:v>10577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专业技术人员构成分析</a:t>
            </a:r>
          </a:p>
        </c:rich>
      </c:tx>
      <c:layout>
        <c:manualLayout>
          <c:xMode val="edge"/>
          <c:yMode val="edge"/>
          <c:x val="0.3382357555859023"/>
          <c:y val="3.5460992907801435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7205906772305488"/>
          <c:y val="0.38652616123034067"/>
          <c:w val="0.45772099907460301"/>
          <c:h val="0.3510650455211265"/>
        </c:manualLayout>
      </c:layout>
      <c:pie3DChart>
        <c:varyColors val="1"/>
        <c:ser>
          <c:idx val="0"/>
          <c:order val="0"/>
          <c:tx>
            <c:strRef>
              <c:f>人员总量分析!$F$3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3487041193779764E-3"/>
                  <c:y val="-7.210101150035423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1.4950010652552323E-2"/>
                  <c:y val="2.9871099630867495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5.4021753784546322E-2"/>
                  <c:y val="8.5263688704253326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(人员总量分析!$B$5:$B$7,人员总量分析!$B$8)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(人员总量分析!$F$5:$F$7,人员总量分析!$F$8)</c:f>
              <c:numCache>
                <c:formatCode>General</c:formatCode>
                <c:ptCount val="4"/>
                <c:pt idx="0">
                  <c:v>7280</c:v>
                </c:pt>
                <c:pt idx="1">
                  <c:v>8156</c:v>
                </c:pt>
                <c:pt idx="2">
                  <c:v>4126</c:v>
                </c:pt>
                <c:pt idx="3">
                  <c:v>8083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生产人员构成分析</a:t>
            </a:r>
          </a:p>
        </c:rich>
      </c:tx>
      <c:layout>
        <c:manualLayout>
          <c:xMode val="edge"/>
          <c:yMode val="edge"/>
          <c:x val="0.3704379260284773"/>
          <c:y val="3.459109127604537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7189781021897808"/>
          <c:y val="0.39937229563525167"/>
          <c:w val="0.45802919708029238"/>
          <c:h val="0.31446637451594545"/>
        </c:manualLayout>
      </c:layout>
      <c:pie3DChart>
        <c:varyColors val="1"/>
        <c:ser>
          <c:idx val="0"/>
          <c:order val="0"/>
          <c:tx>
            <c:strRef>
              <c:f>人员总量分析!$J$3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6635438818322901E-2"/>
                  <c:y val="-8.641703054994608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9.2394198900320867E-3"/>
                  <c:y val="5.8683147029340473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7.1287813475870279E-2"/>
                  <c:y val="5.9690096632339006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(人员总量分析!$B$5:$B$7,人员总量分析!$B$8)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(人员总量分析!$J$5:$J$7,人员总量分析!$J$8)</c:f>
              <c:numCache>
                <c:formatCode>General</c:formatCode>
                <c:ptCount val="4"/>
                <c:pt idx="0">
                  <c:v>7017</c:v>
                </c:pt>
                <c:pt idx="1">
                  <c:v>7426</c:v>
                </c:pt>
                <c:pt idx="2">
                  <c:v>4094</c:v>
                </c:pt>
                <c:pt idx="3">
                  <c:v>8733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注册执业人员构成分析</a:t>
            </a:r>
          </a:p>
        </c:rich>
      </c:tx>
      <c:layout>
        <c:manualLayout>
          <c:xMode val="edge"/>
          <c:yMode val="edge"/>
          <c:x val="0.3382357555859023"/>
          <c:y val="3.333333333333334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7205906772305488"/>
          <c:y val="0.40606180771131545"/>
          <c:w val="0.45772099907460301"/>
          <c:h val="0.30000088778672157"/>
        </c:manualLayout>
      </c:layout>
      <c:pie3DChart>
        <c:varyColors val="1"/>
        <c:ser>
          <c:idx val="0"/>
          <c:order val="0"/>
          <c:tx>
            <c:strRef>
              <c:f>人员总量分析!$N$3</c:f>
              <c:strCache>
                <c:ptCount val="1"/>
                <c:pt idx="0">
                  <c:v>人数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1420591961664693E-2"/>
                  <c:y val="-5.474478571896536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2.9879811579394535E-2"/>
                  <c:y val="9.122449646093186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6.6335516222901722E-2"/>
                  <c:y val="8.437301616559581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(人员总量分析!$B$5:$B$7,人员总量分析!$B$8)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(人员总量分析!$N$5:$N$7,人员总量分析!$N$8)</c:f>
              <c:numCache>
                <c:formatCode>General</c:formatCode>
                <c:ptCount val="4"/>
                <c:pt idx="0">
                  <c:v>2367</c:v>
                </c:pt>
                <c:pt idx="1">
                  <c:v>2705</c:v>
                </c:pt>
                <c:pt idx="2">
                  <c:v>1987</c:v>
                </c:pt>
                <c:pt idx="3">
                  <c:v>2319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专业技术职称柱状图</a:t>
            </a:r>
          </a:p>
        </c:rich>
      </c:tx>
      <c:layout>
        <c:manualLayout>
          <c:xMode val="edge"/>
          <c:yMode val="edge"/>
          <c:x val="0.38377541802843335"/>
          <c:y val="3.550301804214020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5444617784711687"/>
          <c:y val="0.18047337278106695"/>
          <c:w val="0.82371294851793475"/>
          <c:h val="0.39940828402367462"/>
        </c:manualLayout>
      </c:layout>
      <c:barChart>
        <c:barDir val="col"/>
        <c:grouping val="clustered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(技术人员分析!$C$6,技术人员分析!$F$6,技术人员分析!$J$6,技术人员分析!$N$6,技术人员分析!$R$6)</c:f>
              <c:numCache>
                <c:formatCode>General</c:formatCode>
                <c:ptCount val="5"/>
                <c:pt idx="0">
                  <c:v>27645</c:v>
                </c:pt>
                <c:pt idx="1">
                  <c:v>1942</c:v>
                </c:pt>
                <c:pt idx="2">
                  <c:v>10340</c:v>
                </c:pt>
                <c:pt idx="3">
                  <c:v>10372</c:v>
                </c:pt>
                <c:pt idx="4">
                  <c:v>4991</c:v>
                </c:pt>
              </c:numCache>
            </c:numRef>
          </c:val>
        </c:ser>
        <c:ser>
          <c:idx val="1"/>
          <c:order val="1"/>
          <c:tx>
            <c:strRef>
              <c:f>技术人员分析!$B$7</c:f>
              <c:strCache>
                <c:ptCount val="1"/>
                <c:pt idx="0">
                  <c:v>中电工程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(技术人员分析!$C$7,技术人员分析!$F$7,技术人员分析!$J$7,技术人员分析!$N$7,技术人员分析!$R$7)</c:f>
              <c:numCache>
                <c:formatCode>General</c:formatCode>
                <c:ptCount val="5"/>
                <c:pt idx="0">
                  <c:v>7280</c:v>
                </c:pt>
                <c:pt idx="1">
                  <c:v>968</c:v>
                </c:pt>
                <c:pt idx="2">
                  <c:v>3333</c:v>
                </c:pt>
                <c:pt idx="3">
                  <c:v>2120</c:v>
                </c:pt>
                <c:pt idx="4">
                  <c:v>859</c:v>
                </c:pt>
              </c:numCache>
            </c:numRef>
          </c:val>
        </c:ser>
        <c:ser>
          <c:idx val="2"/>
          <c:order val="2"/>
          <c:tx>
            <c:strRef>
              <c:f>技术人员分析!$B$8</c:f>
              <c:strCache>
                <c:ptCount val="1"/>
                <c:pt idx="0">
                  <c:v>中能建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(技术人员分析!$C$8,技术人员分析!$F$8,技术人员分析!$J$8,技术人员分析!$N$8,技术人员分析!$R$8)</c:f>
              <c:numCache>
                <c:formatCode>General</c:formatCode>
                <c:ptCount val="5"/>
                <c:pt idx="0">
                  <c:v>8156</c:v>
                </c:pt>
                <c:pt idx="1">
                  <c:v>365</c:v>
                </c:pt>
                <c:pt idx="2">
                  <c:v>3251</c:v>
                </c:pt>
                <c:pt idx="3">
                  <c:v>2965</c:v>
                </c:pt>
                <c:pt idx="4">
                  <c:v>1575</c:v>
                </c:pt>
              </c:numCache>
            </c:numRef>
          </c:val>
        </c:ser>
        <c:ser>
          <c:idx val="3"/>
          <c:order val="3"/>
          <c:tx>
            <c:strRef>
              <c:f>技术人员分析!$B$9</c:f>
              <c:strCache>
                <c:ptCount val="1"/>
                <c:pt idx="0">
                  <c:v>中电建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(技术人员分析!$C$9,技术人员分析!$F$9,技术人员分析!$J$9,技术人员分析!$N$9,技术人员分析!$R$9)</c:f>
              <c:numCache>
                <c:formatCode>General</c:formatCode>
                <c:ptCount val="5"/>
                <c:pt idx="0">
                  <c:v>4126</c:v>
                </c:pt>
                <c:pt idx="1">
                  <c:v>424</c:v>
                </c:pt>
                <c:pt idx="2">
                  <c:v>1553</c:v>
                </c:pt>
                <c:pt idx="3">
                  <c:v>1523</c:v>
                </c:pt>
                <c:pt idx="4">
                  <c:v>626</c:v>
                </c:pt>
              </c:numCache>
            </c:numRef>
          </c:val>
        </c:ser>
        <c:ser>
          <c:idx val="4"/>
          <c:order val="4"/>
          <c:tx>
            <c:strRef>
              <c:f>技术人员分析!$B$10</c:f>
              <c:strCache>
                <c:ptCount val="1"/>
                <c:pt idx="0">
                  <c:v>其它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(技术人员分析!$C$2,技术人员分析!$F$2,技术人员分析!$J$2,技术人员分析!$N$2,技术人员分析!$R$2)</c:f>
              <c:strCache>
                <c:ptCount val="5"/>
                <c:pt idx="0">
                  <c:v>专业技术人员</c:v>
                </c:pt>
                <c:pt idx="1">
                  <c:v>教授级高工</c:v>
                </c:pt>
                <c:pt idx="2">
                  <c:v>高级职称</c:v>
                </c:pt>
                <c:pt idx="3">
                  <c:v>中级职称</c:v>
                </c:pt>
                <c:pt idx="4">
                  <c:v>初级职称</c:v>
                </c:pt>
              </c:strCache>
            </c:strRef>
          </c:cat>
          <c:val>
            <c:numRef>
              <c:f>(技术人员分析!$C$10,技术人员分析!$F$10,技术人员分析!$J$10,技术人员分析!$N$10,技术人员分析!$R$10)</c:f>
              <c:numCache>
                <c:formatCode>General</c:formatCode>
                <c:ptCount val="5"/>
                <c:pt idx="0">
                  <c:v>8083</c:v>
                </c:pt>
                <c:pt idx="1">
                  <c:v>185</c:v>
                </c:pt>
                <c:pt idx="2">
                  <c:v>2203</c:v>
                </c:pt>
                <c:pt idx="3">
                  <c:v>3764</c:v>
                </c:pt>
                <c:pt idx="4">
                  <c:v>1931</c:v>
                </c:pt>
              </c:numCache>
            </c:numRef>
          </c:val>
        </c:ser>
        <c:axId val="312951552"/>
        <c:axId val="312953088"/>
      </c:barChart>
      <c:catAx>
        <c:axId val="312951552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2953088"/>
        <c:crosses val="autoZero"/>
        <c:auto val="1"/>
        <c:lblAlgn val="ctr"/>
        <c:lblOffset val="100"/>
        <c:tickMarkSkip val="1"/>
      </c:catAx>
      <c:valAx>
        <c:axId val="31295308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29515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1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专业技术人员职称构成</a:t>
            </a:r>
          </a:p>
        </c:rich>
      </c:tx>
      <c:layout>
        <c:manualLayout>
          <c:xMode val="edge"/>
          <c:yMode val="edge"/>
          <c:x val="0.3604469800556403"/>
          <c:y val="3.666666666666668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6953789987337384"/>
          <c:y val="0.37000120443100393"/>
          <c:w val="0.46252065658744906"/>
          <c:h val="0.38000123698319327"/>
        </c:manualLayout>
      </c:layout>
      <c:pie3DChart>
        <c:varyColors val="1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0730035991010133E-2"/>
                  <c:y val="2.1031910484874726E-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1.4144938469517924E-6"/>
                  <c:y val="5.6575493852742791E-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-2.3650246788851692E-2"/>
                  <c:y val="-2.528130655727569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3.505462710441206E-2"/>
                  <c:y val="5.5897264447581606E-3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(技术人员分析!$F$2,技术人员分析!$J$2,技术人员分析!$N$2,技术人员分析!$R$2)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(技术人员分析!$F$6,技术人员分析!$J$6,技术人员分析!$N$6,技术人员分析!$R$6)</c:f>
              <c:numCache>
                <c:formatCode>General</c:formatCode>
                <c:ptCount val="4"/>
                <c:pt idx="0">
                  <c:v>1942</c:v>
                </c:pt>
                <c:pt idx="1">
                  <c:v>10340</c:v>
                </c:pt>
                <c:pt idx="2">
                  <c:v>10372</c:v>
                </c:pt>
                <c:pt idx="3">
                  <c:v>4991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b="1"/>
            </a:pPr>
            <a:r>
              <a:rPr lang="zh-CN" b="1"/>
              <a:t>技术人员职称占比分析</a:t>
            </a:r>
          </a:p>
        </c:rich>
      </c:tx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技术人员分析!$B$6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(技术人员分析!$H$6,技术人员分析!$L$6,技术人员分析!$P$6,技术人员分析!$T$6)</c:f>
              <c:numCache>
                <c:formatCode>0%</c:formatCode>
                <c:ptCount val="4"/>
                <c:pt idx="0">
                  <c:v>7.0247784409477307E-2</c:v>
                </c:pt>
                <c:pt idx="1">
                  <c:v>0.37402785313800291</c:v>
                </c:pt>
                <c:pt idx="2">
                  <c:v>0.37518538614577962</c:v>
                </c:pt>
                <c:pt idx="3">
                  <c:v>0.18053897630674626</c:v>
                </c:pt>
              </c:numCache>
            </c:numRef>
          </c:val>
        </c:ser>
        <c:ser>
          <c:idx val="1"/>
          <c:order val="1"/>
          <c:tx>
            <c:strRef>
              <c:f>技术人员分析!$B$7</c:f>
              <c:strCache>
                <c:ptCount val="1"/>
                <c:pt idx="0">
                  <c:v>中电工程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(技术人员分析!$H$7,技术人员分析!$L$7,技术人员分析!$P$7,技术人员分析!$T$7)</c:f>
              <c:numCache>
                <c:formatCode>0%</c:formatCode>
                <c:ptCount val="4"/>
                <c:pt idx="0">
                  <c:v>0.13296703296703519</c:v>
                </c:pt>
                <c:pt idx="1">
                  <c:v>0.4578296703296767</c:v>
                </c:pt>
                <c:pt idx="2">
                  <c:v>0.29120879120879406</c:v>
                </c:pt>
                <c:pt idx="3">
                  <c:v>0.11799450549450549</c:v>
                </c:pt>
              </c:numCache>
            </c:numRef>
          </c:val>
        </c:ser>
        <c:ser>
          <c:idx val="2"/>
          <c:order val="2"/>
          <c:tx>
            <c:strRef>
              <c:f>技术人员分析!$B$8</c:f>
              <c:strCache>
                <c:ptCount val="1"/>
                <c:pt idx="0">
                  <c:v>中能建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(技术人员分析!$H$8,技术人员分析!$L$8,技术人员分析!$P$8,技术人员分析!$T$8)</c:f>
              <c:numCache>
                <c:formatCode>0%</c:formatCode>
                <c:ptCount val="4"/>
                <c:pt idx="0">
                  <c:v>4.4752329573320433E-2</c:v>
                </c:pt>
                <c:pt idx="1">
                  <c:v>0.39860225600785143</c:v>
                </c:pt>
                <c:pt idx="2">
                  <c:v>0.3635360470819029</c:v>
                </c:pt>
                <c:pt idx="3">
                  <c:v>0.1931093673369299</c:v>
                </c:pt>
              </c:numCache>
            </c:numRef>
          </c:val>
        </c:ser>
        <c:ser>
          <c:idx val="3"/>
          <c:order val="3"/>
          <c:tx>
            <c:strRef>
              <c:f>技术人员分析!$B$9</c:f>
              <c:strCache>
                <c:ptCount val="1"/>
                <c:pt idx="0">
                  <c:v>中电建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(技术人员分析!$H$9,技术人员分析!$L$9,技术人员分析!$P$9,技术人员分析!$T$9)</c:f>
              <c:numCache>
                <c:formatCode>0%</c:formatCode>
                <c:ptCount val="4"/>
                <c:pt idx="0">
                  <c:v>0.10276296655356279</c:v>
                </c:pt>
                <c:pt idx="1">
                  <c:v>0.3763936015511391</c:v>
                </c:pt>
                <c:pt idx="2">
                  <c:v>0.36912263693650038</c:v>
                </c:pt>
                <c:pt idx="3">
                  <c:v>0.15172079495879789</c:v>
                </c:pt>
              </c:numCache>
            </c:numRef>
          </c:val>
        </c:ser>
        <c:ser>
          <c:idx val="4"/>
          <c:order val="4"/>
          <c:tx>
            <c:strRef>
              <c:f>技术人员分析!$B$10</c:f>
              <c:strCache>
                <c:ptCount val="1"/>
                <c:pt idx="0">
                  <c:v>其它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(技术人员分析!$H$3,技术人员分析!$L$3,技术人员分析!$P$3,技术人员分析!$T$3)</c:f>
              <c:strCache>
                <c:ptCount val="4"/>
                <c:pt idx="0">
                  <c:v>教授级高工</c:v>
                </c:pt>
                <c:pt idx="1">
                  <c:v>高级职称</c:v>
                </c:pt>
                <c:pt idx="2">
                  <c:v>中级职称</c:v>
                </c:pt>
                <c:pt idx="3">
                  <c:v>初级职称</c:v>
                </c:pt>
              </c:strCache>
            </c:strRef>
          </c:cat>
          <c:val>
            <c:numRef>
              <c:f>(技术人员分析!$H$10,技术人员分析!$L$10,技术人员分析!$P$10,技术人员分析!$T$10)</c:f>
              <c:numCache>
                <c:formatCode>0%</c:formatCode>
                <c:ptCount val="4"/>
                <c:pt idx="0">
                  <c:v>2.2887541754299447E-2</c:v>
                </c:pt>
                <c:pt idx="1">
                  <c:v>0.27254732153903255</c:v>
                </c:pt>
                <c:pt idx="2">
                  <c:v>0.46566868736855577</c:v>
                </c:pt>
                <c:pt idx="3">
                  <c:v>0.23889644933811721</c:v>
                </c:pt>
              </c:numCache>
            </c:numRef>
          </c:val>
        </c:ser>
        <c:axId val="313103872"/>
        <c:axId val="313105408"/>
      </c:barChart>
      <c:catAx>
        <c:axId val="313103872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zh-CN"/>
          </a:p>
        </c:txPr>
        <c:crossAx val="313105408"/>
        <c:crosses val="autoZero"/>
        <c:auto val="1"/>
        <c:lblAlgn val="ctr"/>
        <c:lblOffset val="100"/>
        <c:tickMarkSkip val="1"/>
      </c:catAx>
      <c:valAx>
        <c:axId val="3131054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zh-CN"/>
          </a:p>
        </c:txPr>
        <c:crossAx val="313103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</c:dTable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年以来行业新签总承包合同额中各企业集团构成情况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8.3508311461067727E-2"/>
          <c:y val="0.2392191377101783"/>
          <c:w val="0.82364630891726076"/>
          <c:h val="0.62739243772002962"/>
        </c:manualLayout>
      </c:layout>
      <c:pie3DChart>
        <c:varyColors val="1"/>
        <c:ser>
          <c:idx val="0"/>
          <c:order val="0"/>
          <c:tx>
            <c:strRef>
              <c:f>合同额!$O$38</c:f>
              <c:strCache>
                <c:ptCount val="1"/>
                <c:pt idx="0">
                  <c:v>总承包合同额（亿元）</c:v>
                </c:pt>
              </c:strCache>
            </c:strRef>
          </c:tx>
          <c:explosion val="18"/>
          <c:dLbls>
            <c:dLbl>
              <c:idx val="0"/>
              <c:layout>
                <c:manualLayout>
                  <c:x val="-2.100840336134454E-2"/>
                  <c:y val="-5.2253365940178979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中电工程</a:t>
                    </a:r>
                    <a:r>
                      <a:rPr lang="en-US" altLang="zh-CN" sz="900" b="1"/>
                      <a:t>1265.64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39.06%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8.7475646426549633E-2"/>
                  <c:y val="-1.5801779043831483E-3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中国能建集团</a:t>
                    </a:r>
                    <a:r>
                      <a:rPr lang="en-US" altLang="zh-CN" sz="900" b="1"/>
                      <a:t> 938.20 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;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 28.95%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-9.1392987641250711E-3"/>
                  <c:y val="2.7382584002938137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中国电建集团</a:t>
                    </a:r>
                    <a:r>
                      <a:rPr lang="en-US" altLang="zh-CN" sz="900" b="1"/>
                      <a:t> 514.01</a:t>
                    </a:r>
                    <a:r>
                      <a:rPr lang="zh-CN" altLang="en-US" sz="900" b="1"/>
                      <a:t>亿元</a:t>
                    </a:r>
                    <a:r>
                      <a:rPr lang="en-US" altLang="zh-CN" sz="900" b="1"/>
                      <a:t> ; </a:t>
                    </a:r>
                    <a:r>
                      <a:rPr lang="zh-CN" altLang="en-US" sz="900" b="1"/>
                      <a:t>占</a:t>
                    </a:r>
                    <a:r>
                      <a:rPr lang="en-US" altLang="zh-CN" sz="900" b="1"/>
                      <a:t>15.86%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0"/>
                  <c:y val="3.2407407407407988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/>
                      <a:t>其他企业</a:t>
                    </a:r>
                    <a:r>
                      <a:rPr lang="en-US" altLang="zh-CN" sz="900" b="1"/>
                      <a:t>522.76 </a:t>
                    </a:r>
                    <a:r>
                      <a:rPr lang="zh-CN" altLang="en-US" sz="900" b="1"/>
                      <a:t>亿元：占</a:t>
                    </a:r>
                    <a:r>
                      <a:rPr lang="en-US" altLang="zh-CN" sz="900" b="1"/>
                      <a:t> 16.13%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dLblPos val="outEnd"/>
            <c:showVal val="1"/>
            <c:showCatName val="1"/>
            <c:showPercent val="1"/>
            <c:separator>; </c:separator>
          </c:dLbls>
          <c:cat>
            <c:strRef>
              <c:f>合同额!$P$37:$S$37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合同额!$P$38:$S$38</c:f>
              <c:numCache>
                <c:formatCode>0.00_);[Red]\(0.00\)</c:formatCode>
                <c:ptCount val="4"/>
                <c:pt idx="0">
                  <c:v>1265.6399999999999</c:v>
                </c:pt>
                <c:pt idx="1">
                  <c:v>938.2</c:v>
                </c:pt>
                <c:pt idx="2">
                  <c:v>514.01</c:v>
                </c:pt>
                <c:pt idx="3">
                  <c:v>522.76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各类注册执业人员构成柱状图</a:t>
            </a:r>
          </a:p>
        </c:rich>
      </c:tx>
      <c:layout>
        <c:manualLayout>
          <c:xMode val="edge"/>
          <c:yMode val="edge"/>
          <c:x val="0.31835945426949763"/>
          <c:y val="3.550296702042719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171875"/>
          <c:y val="0.17159763313609708"/>
          <c:w val="0.80078125000000544"/>
          <c:h val="0.5"/>
        </c:manualLayout>
      </c:layout>
      <c:barChart>
        <c:barDir val="col"/>
        <c:grouping val="clustered"/>
        <c:ser>
          <c:idx val="0"/>
          <c:order val="0"/>
          <c:tx>
            <c:strRef>
              <c:f>注册执业人员分析!$B$7</c:f>
              <c:strCache>
                <c:ptCount val="1"/>
                <c:pt idx="0">
                  <c:v>中电工程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(注册执业人员分析!$F$2,注册执业人员分析!$J$2,注册执业人员分析!$N$2,注册执业人员分析!$R$2,注册执业人员分析!$V$2,注册执业人员分析!$Z$2,注册执业人员分析!$AD$2)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(注册执业人员分析!$F$7,注册执业人员分析!$J$7,注册执业人员分析!$N$7,注册执业人员分析!$R$7,注册执业人员分析!$V$7,注册执业人员分析!$Z$7,注册执业人员分析!$AD$7)</c:f>
              <c:numCache>
                <c:formatCode>General</c:formatCode>
                <c:ptCount val="7"/>
                <c:pt idx="0">
                  <c:v>78</c:v>
                </c:pt>
                <c:pt idx="1">
                  <c:v>261</c:v>
                </c:pt>
                <c:pt idx="2">
                  <c:v>327</c:v>
                </c:pt>
                <c:pt idx="3">
                  <c:v>88</c:v>
                </c:pt>
                <c:pt idx="4">
                  <c:v>357</c:v>
                </c:pt>
                <c:pt idx="5">
                  <c:v>1156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注册执业人员分析!$B$8</c:f>
              <c:strCache>
                <c:ptCount val="1"/>
                <c:pt idx="0">
                  <c:v>中能建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(注册执业人员分析!$F$2,注册执业人员分析!$J$2,注册执业人员分析!$N$2,注册执业人员分析!$R$2,注册执业人员分析!$V$2,注册执业人员分析!$Z$2,注册执业人员分析!$AD$2)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(注册执业人员分析!$F$8,注册执业人员分析!$J$8,注册执业人员分析!$N$8,注册执业人员分析!$R$8,注册执业人员分析!$V$8,注册执业人员分析!$Z$8,注册执业人员分析!$AD$8)</c:f>
              <c:numCache>
                <c:formatCode>General</c:formatCode>
                <c:ptCount val="7"/>
                <c:pt idx="0">
                  <c:v>91</c:v>
                </c:pt>
                <c:pt idx="1">
                  <c:v>263</c:v>
                </c:pt>
                <c:pt idx="2">
                  <c:v>543</c:v>
                </c:pt>
                <c:pt idx="3">
                  <c:v>127</c:v>
                </c:pt>
                <c:pt idx="4">
                  <c:v>405</c:v>
                </c:pt>
                <c:pt idx="5">
                  <c:v>998</c:v>
                </c:pt>
                <c:pt idx="6">
                  <c:v>278</c:v>
                </c:pt>
              </c:numCache>
            </c:numRef>
          </c:val>
        </c:ser>
        <c:ser>
          <c:idx val="2"/>
          <c:order val="2"/>
          <c:tx>
            <c:strRef>
              <c:f>注册执业人员分析!$B$9</c:f>
              <c:strCache>
                <c:ptCount val="1"/>
                <c:pt idx="0">
                  <c:v>中电建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(注册执业人员分析!$F$2,注册执业人员分析!$J$2,注册执业人员分析!$N$2,注册执业人员分析!$R$2,注册执业人员分析!$V$2,注册执业人员分析!$Z$2,注册执业人员分析!$AD$2)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(注册执业人员分析!$F$9,注册执业人员分析!$J$9,注册执业人员分析!$N$9,注册执业人员分析!$R$9,注册执业人员分析!$V$9,注册执业人员分析!$Z$9,注册执业人员分析!$AD$9)</c:f>
              <c:numCache>
                <c:formatCode>General</c:formatCode>
                <c:ptCount val="7"/>
                <c:pt idx="0">
                  <c:v>58</c:v>
                </c:pt>
                <c:pt idx="1">
                  <c:v>166</c:v>
                </c:pt>
                <c:pt idx="2">
                  <c:v>347</c:v>
                </c:pt>
                <c:pt idx="3">
                  <c:v>86</c:v>
                </c:pt>
                <c:pt idx="4">
                  <c:v>330</c:v>
                </c:pt>
                <c:pt idx="5">
                  <c:v>825</c:v>
                </c:pt>
                <c:pt idx="6">
                  <c:v>175</c:v>
                </c:pt>
              </c:numCache>
            </c:numRef>
          </c:val>
        </c:ser>
        <c:ser>
          <c:idx val="3"/>
          <c:order val="3"/>
          <c:tx>
            <c:strRef>
              <c:f>注册执业人员分析!$B$10</c:f>
              <c:strCache>
                <c:ptCount val="1"/>
                <c:pt idx="0">
                  <c:v>其它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(注册执业人员分析!$F$2,注册执业人员分析!$J$2,注册执业人员分析!$N$2,注册执业人员分析!$R$2,注册执业人员分析!$V$2,注册执业人员分析!$Z$2,注册执业人员分析!$AD$2)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(注册执业人员分析!$F$10,注册执业人员分析!$J$10,注册执业人员分析!$N$10,注册执业人员分析!$R$10,注册执业人员分析!$V$10,注册执业人员分析!$Z$10,注册执业人员分析!$AD$10)</c:f>
              <c:numCache>
                <c:formatCode>General</c:formatCode>
                <c:ptCount val="7"/>
                <c:pt idx="0">
                  <c:v>126</c:v>
                </c:pt>
                <c:pt idx="1">
                  <c:v>283</c:v>
                </c:pt>
                <c:pt idx="2">
                  <c:v>583</c:v>
                </c:pt>
                <c:pt idx="3">
                  <c:v>49</c:v>
                </c:pt>
                <c:pt idx="4">
                  <c:v>519</c:v>
                </c:pt>
                <c:pt idx="5">
                  <c:v>746</c:v>
                </c:pt>
                <c:pt idx="6">
                  <c:v>13</c:v>
                </c:pt>
              </c:numCache>
            </c:numRef>
          </c:val>
        </c:ser>
        <c:axId val="314394880"/>
        <c:axId val="314413056"/>
      </c:barChart>
      <c:catAx>
        <c:axId val="314394880"/>
        <c:scaling>
          <c:orientation val="minMax"/>
        </c:scaling>
        <c:axPos val="b"/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4413056"/>
        <c:crosses val="autoZero"/>
        <c:auto val="1"/>
        <c:lblAlgn val="ctr"/>
        <c:lblOffset val="100"/>
        <c:tickMarkSkip val="1"/>
      </c:catAx>
      <c:valAx>
        <c:axId val="31441305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4394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注册执业人员类型构成</a:t>
            </a:r>
          </a:p>
        </c:rich>
      </c:tx>
      <c:layout>
        <c:manualLayout>
          <c:xMode val="edge"/>
          <c:yMode val="edge"/>
          <c:x val="0.36116508965791305"/>
          <c:y val="3.9525443934892761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29514563106796132"/>
          <c:y val="0.39525767982970506"/>
          <c:w val="0.41165048543689331"/>
          <c:h val="0.33201645105695243"/>
        </c:manualLayout>
      </c:layout>
      <c:pie3DChart>
        <c:varyColors val="1"/>
        <c:ser>
          <c:idx val="0"/>
          <c:order val="0"/>
          <c:tx>
            <c:strRef>
              <c:f>注册执业人员分析!$B$6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6617333027546924E-2"/>
                  <c:y val="-1.288523207453710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1.4772163188339306E-2"/>
                  <c:y val="-2.331860958449022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1.5354789389190361E-2"/>
                  <c:y val="7.238626984143753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1.1206890400835823E-2"/>
                  <c:y val="0.1018033025159444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4"/>
              <c:layout>
                <c:manualLayout>
                  <c:x val="-2.6445888438702606E-2"/>
                  <c:y val="4.149325132683743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5"/>
              <c:layout>
                <c:manualLayout>
                  <c:x val="-6.9425884871187494E-3"/>
                  <c:y val="0.1079594610261091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6"/>
              <c:layout>
                <c:manualLayout>
                  <c:x val="-2.7883699003644284E-2"/>
                  <c:y val="2.3602133375902029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(注册执业人员分析!$F$2,注册执业人员分析!$J$2,注册执业人员分析!$N$2,注册执业人员分析!$R$2,注册执业人员分析!$V$2,注册执业人员分析!$Z$2,注册执业人员分析!$AD$2)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(注册执业人员分析!$F$6,注册执业人员分析!$J$6,注册执业人员分析!$N$6,注册执业人员分析!$R$6,注册执业人员分析!$V$6,注册执业人员分析!$Z$6,注册执业人员分析!$AD$6)</c:f>
              <c:numCache>
                <c:formatCode>General</c:formatCode>
                <c:ptCount val="7"/>
                <c:pt idx="0">
                  <c:v>353</c:v>
                </c:pt>
                <c:pt idx="1">
                  <c:v>973</c:v>
                </c:pt>
                <c:pt idx="2">
                  <c:v>1800</c:v>
                </c:pt>
                <c:pt idx="3">
                  <c:v>350</c:v>
                </c:pt>
                <c:pt idx="4">
                  <c:v>1611</c:v>
                </c:pt>
                <c:pt idx="5">
                  <c:v>3725</c:v>
                </c:pt>
                <c:pt idx="6">
                  <c:v>566</c:v>
                </c:pt>
              </c:numCache>
            </c:numRef>
          </c:val>
        </c:ser>
        <c:dLbls>
          <c:showVal val="1"/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各类注册职业人员占比柱状图</a:t>
            </a:r>
          </a:p>
        </c:rich>
      </c:tx>
      <c:spPr>
        <a:noFill/>
        <a:ln w="25400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注册执业人员分析!$B$6</c:f>
              <c:strCache>
                <c:ptCount val="1"/>
                <c:pt idx="0">
                  <c:v>总计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(注册执业人员分析!$H$3,注册执业人员分析!$L$3,注册执业人员分析!$P$3,注册执业人员分析!$T$3,注册执业人员分析!$X$3,注册执业人员分析!$AB$3,注册执业人员分析!$AF$3)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(注册执业人员分析!$H$6,注册执业人员分析!$L$6,注册执业人员分析!$P$6,注册执业人员分析!$T$6,注册执业人员分析!$X$6,注册执业人员分析!$AB$6,注册执业人员分析!$AF$6)</c:f>
              <c:numCache>
                <c:formatCode>0%</c:formatCode>
                <c:ptCount val="7"/>
                <c:pt idx="0">
                  <c:v>3.7641288121134979E-2</c:v>
                </c:pt>
                <c:pt idx="1">
                  <c:v>0.1037534655576882</c:v>
                </c:pt>
                <c:pt idx="2">
                  <c:v>0.19193857965451017</c:v>
                </c:pt>
                <c:pt idx="3">
                  <c:v>3.7321390488377612E-2</c:v>
                </c:pt>
                <c:pt idx="4">
                  <c:v>0.17178502879078689</c:v>
                </c:pt>
                <c:pt idx="5">
                  <c:v>0.39720622734058803</c:v>
                </c:pt>
                <c:pt idx="6">
                  <c:v>6.0354020046919081E-2</c:v>
                </c:pt>
              </c:numCache>
            </c:numRef>
          </c:val>
        </c:ser>
        <c:ser>
          <c:idx val="1"/>
          <c:order val="1"/>
          <c:tx>
            <c:strRef>
              <c:f>注册执业人员分析!$B$7</c:f>
              <c:strCache>
                <c:ptCount val="1"/>
                <c:pt idx="0">
                  <c:v>中电工程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(注册执业人员分析!$H$3,注册执业人员分析!$L$3,注册执业人员分析!$P$3,注册执业人员分析!$T$3,注册执业人员分析!$X$3,注册执业人员分析!$AB$3,注册执业人员分析!$AF$3)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(注册执业人员分析!$H$7,注册执业人员分析!$L$7,注册执业人员分析!$P$7,注册执业人员分析!$T$7,注册执业人员分析!$X$7,注册执业人员分析!$AB$7,注册执业人员分析!$AF$7)</c:f>
              <c:numCache>
                <c:formatCode>0%</c:formatCode>
                <c:ptCount val="7"/>
                <c:pt idx="0">
                  <c:v>3.2953105196451206E-2</c:v>
                </c:pt>
                <c:pt idx="1">
                  <c:v>0.11026615969581749</c:v>
                </c:pt>
                <c:pt idx="2">
                  <c:v>0.13814955640050697</c:v>
                </c:pt>
                <c:pt idx="3">
                  <c:v>3.7177862272919859E-2</c:v>
                </c:pt>
                <c:pt idx="4">
                  <c:v>0.15082382762991117</c:v>
                </c:pt>
                <c:pt idx="5">
                  <c:v>0.48838191803971653</c:v>
                </c:pt>
                <c:pt idx="6">
                  <c:v>4.2247570764680845E-2</c:v>
                </c:pt>
              </c:numCache>
            </c:numRef>
          </c:val>
        </c:ser>
        <c:ser>
          <c:idx val="2"/>
          <c:order val="2"/>
          <c:tx>
            <c:strRef>
              <c:f>注册执业人员分析!$B$8</c:f>
              <c:strCache>
                <c:ptCount val="1"/>
                <c:pt idx="0">
                  <c:v>中能建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(注册执业人员分析!$H$3,注册执业人员分析!$L$3,注册执业人员分析!$P$3,注册执业人员分析!$T$3,注册执业人员分析!$X$3,注册执业人员分析!$AB$3,注册执业人员分析!$AF$3)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(注册执业人员分析!$H$8,注册执业人员分析!$L$8,注册执业人员分析!$P$8,注册执业人员分析!$T$8,注册执业人员分析!$X$8,注册执业人员分析!$AB$8,注册执业人员分析!$AF$8)</c:f>
              <c:numCache>
                <c:formatCode>0%</c:formatCode>
                <c:ptCount val="7"/>
                <c:pt idx="0">
                  <c:v>3.3641404805914994E-2</c:v>
                </c:pt>
                <c:pt idx="1">
                  <c:v>9.7227356746765234E-2</c:v>
                </c:pt>
                <c:pt idx="2">
                  <c:v>0.20073937153419799</c:v>
                </c:pt>
                <c:pt idx="3">
                  <c:v>4.6950092421441804E-2</c:v>
                </c:pt>
                <c:pt idx="4">
                  <c:v>0.14972273567467653</c:v>
                </c:pt>
                <c:pt idx="5">
                  <c:v>0.36894639556377362</c:v>
                </c:pt>
                <c:pt idx="6">
                  <c:v>0.10277264325323648</c:v>
                </c:pt>
              </c:numCache>
            </c:numRef>
          </c:val>
        </c:ser>
        <c:ser>
          <c:idx val="3"/>
          <c:order val="3"/>
          <c:tx>
            <c:strRef>
              <c:f>注册执业人员分析!$B$9</c:f>
              <c:strCache>
                <c:ptCount val="1"/>
                <c:pt idx="0">
                  <c:v>中电建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(注册执业人员分析!$H$3,注册执业人员分析!$L$3,注册执业人员分析!$P$3,注册执业人员分析!$T$3,注册执业人员分析!$X$3,注册执业人员分析!$AB$3,注册执业人员分析!$AF$3)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(注册执业人员分析!$H$9,注册执业人员分析!$L$9,注册执业人员分析!$P$9,注册执业人员分析!$T$9,注册执业人员分析!$X$9,注册执业人员分析!$AB$9,注册执业人员分析!$AF$9)</c:f>
              <c:numCache>
                <c:formatCode>0%</c:formatCode>
                <c:ptCount val="7"/>
                <c:pt idx="0">
                  <c:v>2.9189733266230488E-2</c:v>
                </c:pt>
                <c:pt idx="1">
                  <c:v>8.3543029693004547E-2</c:v>
                </c:pt>
                <c:pt idx="2">
                  <c:v>0.17463512833417211</c:v>
                </c:pt>
                <c:pt idx="3">
                  <c:v>4.3281328636134847E-2</c:v>
                </c:pt>
                <c:pt idx="4">
                  <c:v>0.16607951685958602</c:v>
                </c:pt>
                <c:pt idx="5">
                  <c:v>0.41519879214896832</c:v>
                </c:pt>
                <c:pt idx="6">
                  <c:v>8.8072471061902524E-2</c:v>
                </c:pt>
              </c:numCache>
            </c:numRef>
          </c:val>
        </c:ser>
        <c:ser>
          <c:idx val="4"/>
          <c:order val="4"/>
          <c:tx>
            <c:strRef>
              <c:f>注册执业人员分析!$B$10</c:f>
              <c:strCache>
                <c:ptCount val="1"/>
                <c:pt idx="0">
                  <c:v>其它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(注册执业人员分析!$H$3,注册执业人员分析!$L$3,注册执业人员分析!$P$3,注册执业人员分析!$T$3,注册执业人员分析!$X$3,注册执业人员分析!$AB$3,注册执业人员分析!$AF$3)</c:f>
              <c:strCache>
                <c:ptCount val="7"/>
                <c:pt idx="0">
                  <c:v>注册建筑</c:v>
                </c:pt>
                <c:pt idx="1">
                  <c:v>注册结构</c:v>
                </c:pt>
                <c:pt idx="2">
                  <c:v>注册咨询</c:v>
                </c:pt>
                <c:pt idx="3">
                  <c:v>注册岩土</c:v>
                </c:pt>
                <c:pt idx="4">
                  <c:v>注册电气</c:v>
                </c:pt>
                <c:pt idx="5">
                  <c:v>注册其它</c:v>
                </c:pt>
                <c:pt idx="6">
                  <c:v>其它注册</c:v>
                </c:pt>
              </c:strCache>
            </c:strRef>
          </c:cat>
          <c:val>
            <c:numRef>
              <c:f>(注册执业人员分析!$H$10,注册执业人员分析!$L$10,注册执业人员分析!$P$10,注册执业人员分析!$T$10,注册执业人员分析!$X$10,注册执业人员分析!$AB$10,注册执业人员分析!$AF$10)</c:f>
              <c:numCache>
                <c:formatCode>0%</c:formatCode>
                <c:ptCount val="7"/>
                <c:pt idx="0">
                  <c:v>5.4333764553687693E-2</c:v>
                </c:pt>
                <c:pt idx="1">
                  <c:v>0.12203536006899526</c:v>
                </c:pt>
                <c:pt idx="2">
                  <c:v>0.25140146614920472</c:v>
                </c:pt>
                <c:pt idx="3">
                  <c:v>2.1129797326433809E-2</c:v>
                </c:pt>
                <c:pt idx="4">
                  <c:v>0.2238033635187581</c:v>
                </c:pt>
                <c:pt idx="5">
                  <c:v>0.32169038378611481</c:v>
                </c:pt>
                <c:pt idx="6">
                  <c:v>5.6058645968089698E-3</c:v>
                </c:pt>
              </c:numCache>
            </c:numRef>
          </c:val>
        </c:ser>
        <c:axId val="314564992"/>
        <c:axId val="314566528"/>
      </c:barChart>
      <c:catAx>
        <c:axId val="314564992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4566528"/>
        <c:crosses val="autoZero"/>
        <c:auto val="1"/>
        <c:lblAlgn val="ctr"/>
        <c:lblOffset val="100"/>
        <c:tickMarkSkip val="1"/>
      </c:catAx>
      <c:valAx>
        <c:axId val="3145665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  <c:crossAx val="3145649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ln w="3175">
            <a:solidFill>
              <a:srgbClr val="000000"/>
            </a:solidFill>
            <a:prstDash val="solid"/>
          </a:ln>
        </c:spPr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endParaRPr lang="zh-CN"/>
          </a:p>
        </c:txPr>
      </c:dTable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境外合同额构成分析</a:t>
            </a:r>
          </a:p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境外合同额集团!$C$4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0341531382651303E-2"/>
                  <c:y val="-2.32895050798076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5.2528433945757132E-2"/>
                  <c:y val="-8.9314194577352568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2345679012345678"/>
                  <c:y val="1.1645003704680581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7.9113444152815127E-2"/>
                  <c:y val="0.13898604779665696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dLblPos val="ctr"/>
            <c:showVal val="1"/>
            <c:showCatName val="1"/>
            <c:showPercent val="1"/>
          </c:dLbls>
          <c:cat>
            <c:strRef>
              <c:f>(境外合同额集团!$B$6:$B$8,境外合同额集团!$B$9)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(境外合同额集团!$C$6:$C$8,境外合同额集团!$C$9)</c:f>
              <c:numCache>
                <c:formatCode>General</c:formatCode>
                <c:ptCount val="4"/>
                <c:pt idx="0">
                  <c:v>1156305</c:v>
                </c:pt>
                <c:pt idx="1">
                  <c:v>543936</c:v>
                </c:pt>
                <c:pt idx="2">
                  <c:v>979865</c:v>
                </c:pt>
                <c:pt idx="3">
                  <c:v>121073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勘测境外合同额构成分析</a:t>
            </a:r>
          </a:p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境外合同额集团!$F$4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991869918699187"/>
                  <c:y val="-0.2679425837320616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13008130081300814"/>
                  <c:y val="-0.1020733652312600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8.1300813008129691E-3"/>
                  <c:y val="-0.1212121212121221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9512195121951012"/>
                  <c:y val="-5.1036682615629984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dLblPos val="ctr"/>
            <c:showVal val="1"/>
            <c:showCatName val="1"/>
            <c:showPercent val="1"/>
          </c:dLbls>
          <c:cat>
            <c:strRef>
              <c:f>(境外合同额集团!$B$6:$B$8,境外合同额集团!$B$9)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(境外合同额集团!$F$6:$F$8,境外合同额集团!$F$9)</c:f>
              <c:numCache>
                <c:formatCode>General</c:formatCode>
                <c:ptCount val="4"/>
                <c:pt idx="0">
                  <c:v>5760</c:v>
                </c:pt>
                <c:pt idx="1">
                  <c:v>288</c:v>
                </c:pt>
                <c:pt idx="2">
                  <c:v>473</c:v>
                </c:pt>
                <c:pt idx="3">
                  <c:v>3817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设计境外合同额构成分析</a:t>
            </a:r>
          </a:p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境外合同额集团!$J$4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0387359836901117"/>
                  <c:y val="-0.2382253667566931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0.19877675840978587"/>
                  <c:y val="-3.4319550635880637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5.5371427195453814E-2"/>
                  <c:y val="-0.1774820901010577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8796888920995106"/>
                  <c:y val="3.6385306909100211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(境外合同额集团!$B$6:$B$8,境外合同额集团!$B$9)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(境外合同额集团!$J$6:$J$8,境外合同额集团!$J$9)</c:f>
              <c:numCache>
                <c:formatCode>General</c:formatCode>
                <c:ptCount val="4"/>
                <c:pt idx="0">
                  <c:v>83597</c:v>
                </c:pt>
                <c:pt idx="1">
                  <c:v>5752</c:v>
                </c:pt>
                <c:pt idx="2">
                  <c:v>7185</c:v>
                </c:pt>
                <c:pt idx="3">
                  <c:v>28982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咨询境外合同额构成分析</a:t>
            </a:r>
          </a:p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00" b="1" i="0" strike="noStrike">
                <a:solidFill>
                  <a:srgbClr val="000000"/>
                </a:solidFill>
                <a:latin typeface="宋体"/>
                <a:ea typeface="宋体"/>
              </a:rPr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境外合同额集团!$N$4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9228023420149401E-2"/>
                  <c:y val="0.1410722931478246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0.14147721225568455"/>
                  <c:y val="8.063872661078655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20198473652331941"/>
                  <c:y val="-9.6734194633437826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0942507571169152"/>
                  <c:y val="8.9509976301506228E-2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(境外合同额集团!$B$6:$B$8,境外合同额集团!$B$9)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(境外合同额集团!$N$6:$N$8,境外合同额集团!$N$9)</c:f>
              <c:numCache>
                <c:formatCode>General</c:formatCode>
                <c:ptCount val="4"/>
                <c:pt idx="0">
                  <c:v>248</c:v>
                </c:pt>
                <c:pt idx="1">
                  <c:v>1460</c:v>
                </c:pt>
                <c:pt idx="2">
                  <c:v>2851</c:v>
                </c:pt>
                <c:pt idx="3">
                  <c:v>875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50" b="1" i="0" strike="noStrike">
                <a:solidFill>
                  <a:srgbClr val="000000"/>
                </a:solidFill>
                <a:latin typeface="宋体"/>
                <a:ea typeface="宋体"/>
              </a:rPr>
              <a:t>监理境外合同额构成分析</a:t>
            </a:r>
          </a:p>
          <a:p>
            <a:pPr>
              <a:defRPr sz="1050" b="0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 sz="1050" b="1" i="0" strike="noStrike">
                <a:solidFill>
                  <a:srgbClr val="000000"/>
                </a:solidFill>
                <a:latin typeface="宋体"/>
                <a:ea typeface="宋体"/>
              </a:rPr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境外合同额集团!$T$4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4.7402377455112416E-2"/>
                  <c:y val="-0.2253658536585363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(境外合同额集团!$B$6,境外合同额集团!$B$7,境外合同额集团!$B$8,境外合同额集团!$B$9)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(境外合同额集团!$T$6,境外合同额集团!$T$7,境外合同额集团!$T$8,境外合同额集团!$T$9)</c:f>
              <c:numCache>
                <c:formatCode>General</c:formatCode>
                <c:ptCount val="4"/>
                <c:pt idx="0">
                  <c:v>6615</c:v>
                </c:pt>
                <c:pt idx="3">
                  <c:v>0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000" b="1"/>
            </a:pPr>
            <a:r>
              <a:rPr lang="zh-CN" sz="1000" b="1"/>
              <a:t>总承包境外合同额构成分析</a:t>
            </a:r>
            <a:endParaRPr lang="en-US" altLang="zh-CN" sz="1000" b="1"/>
          </a:p>
          <a:p>
            <a:pPr>
              <a:defRPr sz="1000" b="1"/>
            </a:pPr>
            <a:r>
              <a:rPr lang="zh-CN" sz="1000" b="1"/>
              <a:t>（按所属集团）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/>
      <c:pie3DChart>
        <c:varyColors val="1"/>
        <c:ser>
          <c:idx val="0"/>
          <c:order val="0"/>
          <c:tx>
            <c:strRef>
              <c:f>境外合同额集团!$X$4</c:f>
              <c:strCache>
                <c:ptCount val="1"/>
                <c:pt idx="0">
                  <c:v>境外合同额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20703933747412295"/>
                  <c:y val="2.654529159464823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2.4982964086011E-2"/>
                  <c:y val="-0.16720414826195509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9416801160724476"/>
                  <c:y val="-2.4239165226298052E-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1465968927797068"/>
                  <c:y val="0.12674374239805389"/>
                </c:manualLayout>
              </c:layout>
              <c:dLblPos val="bestFit"/>
              <c:showVal val="1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(境外合同额集团!$B$6:$B$8,境外合同额集团!$B$9)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(境外合同额集团!$X$6:$X$8,境外合同额集团!$X$9)</c:f>
              <c:numCache>
                <c:formatCode>General</c:formatCode>
                <c:ptCount val="4"/>
                <c:pt idx="0">
                  <c:v>1060085</c:v>
                </c:pt>
                <c:pt idx="1">
                  <c:v>536436</c:v>
                </c:pt>
                <c:pt idx="2">
                  <c:v>968604</c:v>
                </c:pt>
                <c:pt idx="3">
                  <c:v>87400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宋体"/>
                <a:ea typeface="宋体"/>
                <a:cs typeface="宋体"/>
              </a:defRPr>
            </a:pPr>
            <a:r>
              <a:rPr lang="zh-CN" altLang="en-US"/>
              <a:t>各业务类型完成产值构成</a:t>
            </a:r>
          </a:p>
        </c:rich>
      </c:tx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0525990373652273"/>
          <c:y val="0.30581742960096403"/>
          <c:w val="0.78948019252695456"/>
          <c:h val="0.62907157791716761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1"/>
              <c:layout>
                <c:manualLayout>
                  <c:x val="-2.8814459417062663E-2"/>
                  <c:y val="-0.29825036700921237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4.195679621679943E-2"/>
                  <c:y val="2.3883179856755202E-2"/>
                </c:manualLayout>
              </c:layout>
              <c:dLblPos val="bestFit"/>
              <c:showCatName val="1"/>
              <c:showPercent val="1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宋体"/>
                    <a:ea typeface="宋体"/>
                    <a:cs typeface="宋体"/>
                  </a:defRPr>
                </a:pPr>
                <a:endParaRPr lang="zh-CN"/>
              </a:p>
            </c:txPr>
            <c:showCatName val="1"/>
            <c:showPercent val="1"/>
            <c:showLeaderLines val="1"/>
          </c:dLbls>
          <c:cat>
            <c:strRef>
              <c:f>(隶属关系!$F$2,隶属关系!$J$2,隶属关系!$N$2,隶属关系!$T$2,隶属关系!$X$2,隶属关系!$AB$2)</c:f>
              <c:strCache>
                <c:ptCount val="6"/>
                <c:pt idx="0">
                  <c:v>勘测</c:v>
                </c:pt>
                <c:pt idx="1">
                  <c:v>设计</c:v>
                </c:pt>
                <c:pt idx="2">
                  <c:v>咨询</c:v>
                </c:pt>
                <c:pt idx="3">
                  <c:v>监理</c:v>
                </c:pt>
                <c:pt idx="4">
                  <c:v>项目管理</c:v>
                </c:pt>
                <c:pt idx="5">
                  <c:v>其它</c:v>
                </c:pt>
              </c:strCache>
            </c:strRef>
          </c:cat>
          <c:val>
            <c:numRef>
              <c:f>(隶属关系!$F$5,隶属关系!$J$5,隶属关系!$N$5,隶属关系!$T$5,隶属关系!$X$5,隶属关系!$AB$5)</c:f>
              <c:numCache>
                <c:formatCode>General</c:formatCode>
                <c:ptCount val="6"/>
                <c:pt idx="0">
                  <c:v>314039</c:v>
                </c:pt>
                <c:pt idx="1">
                  <c:v>1612232</c:v>
                </c:pt>
                <c:pt idx="2">
                  <c:v>262531</c:v>
                </c:pt>
                <c:pt idx="3">
                  <c:v>51512</c:v>
                </c:pt>
                <c:pt idx="4">
                  <c:v>202211</c:v>
                </c:pt>
                <c:pt idx="5">
                  <c:v>10421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宋体"/>
          <a:ea typeface="宋体"/>
          <a:cs typeface="宋体"/>
        </a:defRPr>
      </a:pPr>
      <a:endParaRPr lang="zh-CN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>
                <a:solidFill>
                  <a:srgbClr val="FF0000"/>
                </a:solidFill>
              </a:defRPr>
            </a:pPr>
            <a:r>
              <a:rPr lang="en-US" altLang="zh-CN" sz="1200">
                <a:solidFill>
                  <a:srgbClr val="FF0000"/>
                </a:solidFill>
              </a:rPr>
              <a:t>2012</a:t>
            </a:r>
            <a:r>
              <a:rPr lang="zh-CN" altLang="en-US" sz="1200">
                <a:solidFill>
                  <a:srgbClr val="FF0000"/>
                </a:solidFill>
              </a:rPr>
              <a:t>年以来行业新签勘测设计咨询合同额中各企业集团构成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合同额!$N$60</c:f>
              <c:strCache>
                <c:ptCount val="1"/>
                <c:pt idx="0">
                  <c:v>勘测设计及咨询合同额（亿元）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中电工程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269.63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; 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29.3%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6.9444444444444503E-2"/>
                  <c:y val="-5.5555555555555455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中国能建集团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245.61 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; 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26.69%</a:t>
                    </a:r>
                  </a:p>
                </c:rich>
              </c:tx>
              <c:dLblPos val="bestFit"/>
            </c:dLbl>
            <c:dLbl>
              <c:idx val="2"/>
              <c:layout>
                <c:manualLayout>
                  <c:x val="1.129280250859732E-2"/>
                  <c:y val="6.1777214288891914E-2"/>
                </c:manualLayout>
              </c:layout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中国电建集团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133.83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; 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14.54%</a:t>
                    </a:r>
                  </a:p>
                </c:rich>
              </c:tx>
              <c:dLblPos val="bestFit"/>
            </c:dLbl>
            <c:dLbl>
              <c:idx val="3"/>
              <c:tx>
                <c:rich>
                  <a:bodyPr/>
                  <a:lstStyle/>
                  <a:p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其他企业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271.19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亿元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 ; </a:t>
                    </a:r>
                    <a:r>
                      <a:rPr lang="zh-CN" altLang="en-US" sz="900" b="1">
                        <a:solidFill>
                          <a:sysClr val="windowText" lastClr="000000"/>
                        </a:solidFill>
                      </a:rPr>
                      <a:t>占</a:t>
                    </a:r>
                    <a:r>
                      <a:rPr lang="en-US" altLang="zh-CN" sz="900" b="1">
                        <a:solidFill>
                          <a:sysClr val="windowText" lastClr="000000"/>
                        </a:solidFill>
                      </a:rPr>
                      <a:t>29.47%</a:t>
                    </a:r>
                  </a:p>
                </c:rich>
              </c:tx>
              <c:dLblPos val="bestFit"/>
            </c:dLbl>
            <c:txPr>
              <a:bodyPr/>
              <a:lstStyle/>
              <a:p>
                <a:pPr>
                  <a:defRPr sz="900" b="1">
                    <a:solidFill>
                      <a:sysClr val="windowText" lastClr="000000"/>
                    </a:solidFill>
                  </a:defRPr>
                </a:pPr>
                <a:endParaRPr lang="zh-CN"/>
              </a:p>
            </c:txPr>
            <c:dLblPos val="outEnd"/>
            <c:showVal val="1"/>
            <c:showCatName val="1"/>
            <c:showPercent val="1"/>
            <c:separator>; </c:separator>
          </c:dLbls>
          <c:cat>
            <c:strRef>
              <c:f>合同额!$O$59:$R$59</c:f>
              <c:strCache>
                <c:ptCount val="4"/>
                <c:pt idx="0">
                  <c:v>中电工程</c:v>
                </c:pt>
                <c:pt idx="1">
                  <c:v>中国能建集团</c:v>
                </c:pt>
                <c:pt idx="2">
                  <c:v>中国电建集团</c:v>
                </c:pt>
                <c:pt idx="3">
                  <c:v>其他企业</c:v>
                </c:pt>
              </c:strCache>
            </c:strRef>
          </c:cat>
          <c:val>
            <c:numRef>
              <c:f>合同额!$O$60:$R$60</c:f>
              <c:numCache>
                <c:formatCode>0.00_);[Red]\(0.00\)</c:formatCode>
                <c:ptCount val="4"/>
                <c:pt idx="0">
                  <c:v>269.63</c:v>
                </c:pt>
                <c:pt idx="1">
                  <c:v>245.60999999999999</c:v>
                </c:pt>
                <c:pt idx="2">
                  <c:v>133.83000000000004</c:v>
                </c:pt>
                <c:pt idx="3">
                  <c:v>271.19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/>
            </a:pPr>
            <a:r>
              <a:rPr lang="zh-CN" altLang="en-US" sz="1200"/>
              <a:t>完成总产值构成分析</a:t>
            </a:r>
            <a:endParaRPr lang="en-US" altLang="zh-CN" sz="1200" b="0" i="0" u="none" strike="noStrike" baseline="0"/>
          </a:p>
          <a:p>
            <a:pPr>
              <a:defRPr sz="1200"/>
            </a:pPr>
            <a:r>
              <a:rPr lang="zh-CN" altLang="en-US" sz="1200" b="1" i="0" u="none" strike="noStrike" baseline="0"/>
              <a:t>（按所属集团）</a:t>
            </a:r>
            <a:endParaRPr lang="zh-CN" altLang="en-US" sz="1200" b="1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6282697808841392E-2"/>
          <c:y val="0.28198649841258938"/>
          <c:w val="0.90870801262202372"/>
          <c:h val="0.62356703228690302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CCFFFF"/>
              </a:solidFill>
            </c:spPr>
          </c:dPt>
          <c:dPt>
            <c:idx val="2"/>
            <c:spPr>
              <a:solidFill>
                <a:srgbClr val="FFCCCC"/>
              </a:solidFill>
            </c:spPr>
          </c:dPt>
          <c:dPt>
            <c:idx val="3"/>
            <c:spPr>
              <a:solidFill>
                <a:srgbClr val="CCFF99"/>
              </a:solidFill>
            </c:spPr>
          </c:dPt>
          <c:dLbls>
            <c:dLbl>
              <c:idx val="0"/>
              <c:layout>
                <c:manualLayout>
                  <c:x val="-0.15499190726159362"/>
                  <c:y val="4.5434164479440084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0.10632137341671419"/>
                  <c:y val="-0.2091460055096419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8.9611220472440967E-2"/>
                  <c:y val="-0.130727617381160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2974201662292342"/>
                  <c:y val="4.2413604549432257E-2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所属集团!$B$6:$B$9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所属集团!$C$6:$C$9</c:f>
              <c:numCache>
                <c:formatCode>General</c:formatCode>
                <c:ptCount val="4"/>
                <c:pt idx="0">
                  <c:v>722050</c:v>
                </c:pt>
                <c:pt idx="1">
                  <c:v>708836</c:v>
                </c:pt>
                <c:pt idx="2">
                  <c:v>365549</c:v>
                </c:pt>
                <c:pt idx="3">
                  <c:v>656510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 sz="1200"/>
            </a:pPr>
            <a:r>
              <a:rPr lang="zh-CN" altLang="en-US" sz="1200"/>
              <a:t>勘测产值构成分析</a:t>
            </a:r>
            <a:endParaRPr lang="en-US" altLang="zh-CN" sz="1200"/>
          </a:p>
          <a:p>
            <a:pPr>
              <a:defRPr sz="1200"/>
            </a:pPr>
            <a:r>
              <a:rPr lang="zh-CN" altLang="en-US" sz="1200"/>
              <a:t>（按所属集团）</a:t>
            </a:r>
          </a:p>
        </c:rich>
      </c:tx>
      <c:layout>
        <c:manualLayout>
          <c:xMode val="edge"/>
          <c:yMode val="edge"/>
          <c:x val="0.28779962107385587"/>
          <c:y val="4.3010752688172046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8505572780739612E-2"/>
          <c:y val="0.30641314996916025"/>
          <c:w val="0.95432029919772776"/>
          <c:h val="0.62809535904786162"/>
        </c:manualLayout>
      </c:layout>
      <c:pie3DChart>
        <c:varyColors val="1"/>
        <c:ser>
          <c:idx val="0"/>
          <c:order val="0"/>
          <c:tx>
            <c:strRef>
              <c:f>所属集团!$F$2</c:f>
              <c:strCache>
                <c:ptCount val="1"/>
                <c:pt idx="0">
                  <c:v>勘测</c:v>
                </c:pt>
              </c:strCache>
            </c:strRef>
          </c:tx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CCFFFF"/>
              </a:solidFill>
            </c:spPr>
          </c:dPt>
          <c:dPt>
            <c:idx val="2"/>
            <c:spPr>
              <a:solidFill>
                <a:srgbClr val="FFCCCC"/>
              </a:solidFill>
            </c:spPr>
          </c:dPt>
          <c:dPt>
            <c:idx val="3"/>
            <c:spPr>
              <a:solidFill>
                <a:srgbClr val="CCFF99"/>
              </a:solidFill>
            </c:spPr>
          </c:dPt>
          <c:dLbls>
            <c:dLbl>
              <c:idx val="0"/>
              <c:layout>
                <c:manualLayout>
                  <c:x val="-0.14159667541557305"/>
                  <c:y val="3.023293963254599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9.7423657736833893E-3"/>
                  <c:y val="-0.13493087557603797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261832895888014"/>
                  <c:y val="-0.14368875765529321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2895392325251118"/>
                  <c:y val="0.11133737315093684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  <c:showLeaderLines val="1"/>
          </c:dLbls>
          <c:cat>
            <c:strRef>
              <c:f>(所属集团!$B$6,所属集团!$B$7,所属集团!$B$8,所属集团!$B$9)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(所属集团!$F$6,所属集团!$F$7,所属集团!$F$8,所属集团!$F$9)</c:f>
              <c:numCache>
                <c:formatCode>General</c:formatCode>
                <c:ptCount val="4"/>
                <c:pt idx="0">
                  <c:v>104535</c:v>
                </c:pt>
                <c:pt idx="1">
                  <c:v>90039</c:v>
                </c:pt>
                <c:pt idx="2">
                  <c:v>55391</c:v>
                </c:pt>
                <c:pt idx="3">
                  <c:v>64074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设计产值构成分析</a:t>
            </a:r>
            <a:endParaRPr lang="en-US" altLang="zh-CN" sz="1200">
              <a:latin typeface="+mn-ea"/>
              <a:ea typeface="+mn-ea"/>
            </a:endParaRPr>
          </a:p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（按所属集团）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8349759260224963E-2"/>
          <c:y val="0.30803149606299218"/>
          <c:w val="0.94191514140202659"/>
          <c:h val="0.65066400636572763"/>
        </c:manualLayout>
      </c:layout>
      <c:pie3DChart>
        <c:varyColors val="1"/>
        <c:ser>
          <c:idx val="0"/>
          <c:order val="0"/>
          <c:dPt>
            <c:idx val="0"/>
            <c:explosion val="3"/>
            <c:spPr>
              <a:solidFill>
                <a:srgbClr val="9999FF"/>
              </a:solidFill>
              <a:ln>
                <a:solidFill>
                  <a:schemeClr val="accent1"/>
                </a:solidFill>
              </a:ln>
            </c:spPr>
          </c:dPt>
          <c:dPt>
            <c:idx val="1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2"/>
            <c:spPr>
              <a:solidFill>
                <a:srgbClr val="FFCCCC"/>
              </a:solidFill>
            </c:spPr>
          </c:dPt>
          <c:dPt>
            <c:idx val="3"/>
            <c:spPr>
              <a:solidFill>
                <a:srgbClr val="CCFF99"/>
              </a:solidFill>
            </c:spPr>
          </c:dPt>
          <c:dLbls>
            <c:dLbl>
              <c:idx val="0"/>
              <c:layout>
                <c:manualLayout>
                  <c:x val="-0.12735325302880188"/>
                  <c:y val="0.1363641761974340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1"/>
              <c:layout>
                <c:manualLayout>
                  <c:x val="-0.20716222558273056"/>
                  <c:y val="-0.14835595776772376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7456206219255704"/>
                  <c:y val="-0.1608246932934288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5513549216944125"/>
                  <c:y val="8.7655015973683553E-2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所属集团!$B$6:$B$9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所属集团!$J$6:$J$9</c:f>
              <c:numCache>
                <c:formatCode>General</c:formatCode>
                <c:ptCount val="4"/>
                <c:pt idx="0">
                  <c:v>430499</c:v>
                </c:pt>
                <c:pt idx="1">
                  <c:v>443305</c:v>
                </c:pt>
                <c:pt idx="2">
                  <c:v>228626</c:v>
                </c:pt>
                <c:pt idx="3">
                  <c:v>509802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咨询产值构成分析</a:t>
            </a:r>
            <a:endParaRPr lang="en-US" altLang="zh-CN" sz="1200">
              <a:latin typeface="+mn-ea"/>
              <a:ea typeface="+mn-ea"/>
            </a:endParaRPr>
          </a:p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（按所属集团）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366485742680224E-2"/>
          <c:y val="0.31574928731995056"/>
          <c:w val="0.94835529054014345"/>
          <c:h val="0.6250245513569177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CCECFF"/>
              </a:solidFill>
            </c:spPr>
          </c:dPt>
          <c:dPt>
            <c:idx val="2"/>
            <c:spPr>
              <a:solidFill>
                <a:srgbClr val="FFCCFF"/>
              </a:solidFill>
            </c:spPr>
          </c:dPt>
          <c:dPt>
            <c:idx val="3"/>
            <c:spPr>
              <a:solidFill>
                <a:srgbClr val="CCFF99"/>
              </a:solidFill>
            </c:spPr>
          </c:dPt>
          <c:dLbls>
            <c:dLbl>
              <c:idx val="0"/>
              <c:layout>
                <c:manualLayout>
                  <c:x val="-0.19343271411461918"/>
                  <c:y val="7.857182409160880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4459798775153257"/>
                  <c:y val="3.2629775444736282E-2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5.940343394575761E-2"/>
                  <c:y val="8.6854768153982034E-2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所属集团!$B$18:$B$21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所属集团!$N$18:$N$21</c:f>
              <c:numCache>
                <c:formatCode>General</c:formatCode>
                <c:ptCount val="4"/>
                <c:pt idx="0">
                  <c:v>96378</c:v>
                </c:pt>
                <c:pt idx="1">
                  <c:v>94612</c:v>
                </c:pt>
                <c:pt idx="2">
                  <c:v>39863</c:v>
                </c:pt>
                <c:pt idx="3">
                  <c:v>52153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/>
          <a:lstStyle/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项目管理产值构成</a:t>
            </a:r>
            <a:endParaRPr lang="en-US" altLang="zh-CN" sz="1200">
              <a:latin typeface="+mn-ea"/>
              <a:ea typeface="+mn-ea"/>
            </a:endParaRPr>
          </a:p>
          <a:p>
            <a:pPr>
              <a:defRPr/>
            </a:pPr>
            <a:r>
              <a:rPr lang="zh-CN" altLang="en-US" sz="1200">
                <a:latin typeface="+mn-ea"/>
                <a:ea typeface="+mn-ea"/>
              </a:rPr>
              <a:t>（按所属集团）</a:t>
            </a:r>
          </a:p>
        </c:rich>
      </c:tx>
      <c:layout>
        <c:manualLayout>
          <c:xMode val="edge"/>
          <c:yMode val="edge"/>
          <c:x val="0.2622008915552223"/>
          <c:y val="2.8490028490028487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7103028788068412E-2"/>
          <c:y val="0.28869282365345567"/>
          <c:w val="0.93002674665666796"/>
          <c:h val="0.65173116180990198"/>
        </c:manualLayout>
      </c:layout>
      <c:pie3DChart>
        <c:varyColors val="1"/>
        <c:ser>
          <c:idx val="0"/>
          <c:order val="0"/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CCECFF"/>
              </a:solidFill>
            </c:spPr>
          </c:dPt>
          <c:dPt>
            <c:idx val="2"/>
            <c:spPr>
              <a:solidFill>
                <a:srgbClr val="FFCCFF"/>
              </a:solidFill>
            </c:spPr>
          </c:dPt>
          <c:dPt>
            <c:idx val="3"/>
            <c:spPr>
              <a:solidFill>
                <a:srgbClr val="CCFF99"/>
              </a:solidFill>
            </c:spPr>
          </c:dPt>
          <c:dLbls>
            <c:dLbl>
              <c:idx val="1"/>
              <c:layout>
                <c:manualLayout>
                  <c:x val="0.20532233470816191"/>
                  <c:y val="-0.15948493617785195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2"/>
              <c:layout>
                <c:manualLayout>
                  <c:x val="0.15388609757113886"/>
                  <c:y val="-6.7546043923997134E-3"/>
                </c:manualLayout>
              </c:layout>
              <c:dLblPos val="bestFit"/>
              <c:showVal val="1"/>
              <c:showCatName val="1"/>
              <c:showPercent val="1"/>
            </c:dLbl>
            <c:dLbl>
              <c:idx val="3"/>
              <c:layout>
                <c:manualLayout>
                  <c:x val="0.18578444361121699"/>
                  <c:y val="0.11270251474975887"/>
                </c:manualLayout>
              </c:layout>
              <c:dLblPos val="bestFit"/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900" b="1"/>
                </a:pPr>
                <a:endParaRPr lang="zh-CN"/>
              </a:p>
            </c:txPr>
            <c:showVal val="1"/>
            <c:showCatName val="1"/>
            <c:showPercent val="1"/>
          </c:dLbls>
          <c:cat>
            <c:strRef>
              <c:f>所属集团!$B$18:$B$21</c:f>
              <c:strCache>
                <c:ptCount val="4"/>
                <c:pt idx="0">
                  <c:v>中电工程</c:v>
                </c:pt>
                <c:pt idx="1">
                  <c:v>中能建</c:v>
                </c:pt>
                <c:pt idx="2">
                  <c:v>中电建</c:v>
                </c:pt>
                <c:pt idx="3">
                  <c:v>其它</c:v>
                </c:pt>
              </c:strCache>
            </c:strRef>
          </c:cat>
          <c:val>
            <c:numRef>
              <c:f>所属集团!$X$18:$X$21</c:f>
              <c:numCache>
                <c:formatCode>General</c:formatCode>
                <c:ptCount val="4"/>
                <c:pt idx="0">
                  <c:v>89645</c:v>
                </c:pt>
                <c:pt idx="1">
                  <c:v>45829</c:v>
                </c:pt>
                <c:pt idx="2">
                  <c:v>17100</c:v>
                </c:pt>
                <c:pt idx="3">
                  <c:v>38952</c:v>
                </c:pt>
              </c:numCache>
            </c:numRef>
          </c:val>
        </c:ser>
        <c:dLbls>
          <c:showCatName val="1"/>
        </c:dLbls>
      </c:pie3D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258BD-35A4-4D88-A937-BC206B4E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4969</TotalTime>
  <Pages>112</Pages>
  <Words>7219</Words>
  <Characters>41151</Characters>
  <Application>Microsoft Office Word</Application>
  <DocSecurity>0</DocSecurity>
  <Lines>342</Lines>
  <Paragraphs>96</Paragraphs>
  <ScaleCrop>false</ScaleCrop>
  <Company/>
  <LinksUpToDate>false</LinksUpToDate>
  <CharactersWithSpaces>48274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00447</dc:creator>
  <cp:lastModifiedBy>马伟娜</cp:lastModifiedBy>
  <cp:revision>171</cp:revision>
  <cp:lastPrinted>2015-06-23T08:52:00Z</cp:lastPrinted>
  <dcterms:created xsi:type="dcterms:W3CDTF">2015-06-08T03:42:00Z</dcterms:created>
  <dcterms:modified xsi:type="dcterms:W3CDTF">2016-05-19T03:19:00Z</dcterms:modified>
</cp:coreProperties>
</file>