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A7DC" w14:textId="60B2264C" w:rsidR="00444252" w:rsidRPr="00444252" w:rsidRDefault="00444252" w:rsidP="00444252">
      <w:pPr>
        <w:spacing w:beforeLines="50" w:before="288" w:afterLines="50" w:after="288" w:line="500" w:lineRule="exact"/>
        <w:jc w:val="left"/>
        <w:rPr>
          <w:rFonts w:ascii="黑体" w:eastAsia="黑体" w:hAnsi="黑体" w:cs="仿宋" w:hint="eastAsia"/>
          <w:sz w:val="28"/>
          <w:szCs w:val="28"/>
        </w:rPr>
      </w:pPr>
      <w:r w:rsidRPr="00444252">
        <w:rPr>
          <w:rFonts w:ascii="黑体" w:eastAsia="黑体" w:hAnsi="黑体" w:cs="仿宋" w:hint="eastAsia"/>
          <w:sz w:val="28"/>
          <w:szCs w:val="28"/>
        </w:rPr>
        <w:t>附表</w:t>
      </w:r>
    </w:p>
    <w:p w14:paraId="29390AFD" w14:textId="0208E6F3" w:rsidR="00444252" w:rsidRDefault="00444252" w:rsidP="00444252">
      <w:pPr>
        <w:spacing w:beforeLines="50" w:before="288" w:afterLines="50" w:after="288" w:line="500" w:lineRule="exact"/>
        <w:jc w:val="center"/>
        <w:rPr>
          <w:rFonts w:ascii="方正大标宋简体" w:eastAsia="方正大标宋简体" w:hAnsi="仿宋" w:hint="eastAsia"/>
          <w:color w:val="000000"/>
          <w:sz w:val="36"/>
        </w:rPr>
      </w:pPr>
      <w:r>
        <w:rPr>
          <w:rFonts w:ascii="方正大标宋简体" w:eastAsia="方正大标宋简体" w:hAnsi="仿宋" w:hint="eastAsia"/>
          <w:color w:val="000000"/>
          <w:sz w:val="36"/>
        </w:rPr>
        <w:t>2025年培训计划表</w:t>
      </w:r>
    </w:p>
    <w:p w14:paraId="0C6762C1" w14:textId="77777777" w:rsidR="00444252" w:rsidRDefault="00444252" w:rsidP="00444252">
      <w:pPr>
        <w:spacing w:beforeLines="50" w:before="288" w:afterLines="50" w:after="288" w:line="50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单位：                  （公章）</w:t>
      </w:r>
    </w:p>
    <w:tbl>
      <w:tblPr>
        <w:tblStyle w:val="11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5710"/>
        <w:gridCol w:w="933"/>
        <w:gridCol w:w="850"/>
        <w:gridCol w:w="992"/>
      </w:tblGrid>
      <w:tr w:rsidR="00444252" w14:paraId="128E1D2C" w14:textId="77777777" w:rsidTr="00444252">
        <w:trPr>
          <w:trHeight w:val="711"/>
          <w:tblHeader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14:paraId="5861A4FF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10" w:type="dxa"/>
            <w:tcMar>
              <w:left w:w="28" w:type="dxa"/>
              <w:right w:w="28" w:type="dxa"/>
            </w:tcMar>
            <w:vAlign w:val="center"/>
          </w:tcPr>
          <w:p w14:paraId="3503B051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名称及培训内容</w:t>
            </w:r>
          </w:p>
        </w:tc>
        <w:tc>
          <w:tcPr>
            <w:tcW w:w="933" w:type="dxa"/>
            <w:tcMar>
              <w:left w:w="28" w:type="dxa"/>
              <w:right w:w="28" w:type="dxa"/>
            </w:tcMar>
            <w:vAlign w:val="center"/>
          </w:tcPr>
          <w:p w14:paraId="698FD98E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</w:t>
            </w:r>
          </w:p>
          <w:p w14:paraId="4E9A1D63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62EEE22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</w:t>
            </w:r>
          </w:p>
          <w:p w14:paraId="09664206" w14:textId="2EA9765F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2FF989A" w14:textId="77777777" w:rsidR="00444252" w:rsidRDefault="00444252" w:rsidP="003D2064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是否有意愿参加（注1）</w:t>
            </w:r>
          </w:p>
        </w:tc>
      </w:tr>
      <w:tr w:rsidR="00444252" w14:paraId="730DF287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01D090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AB0B43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名称：新能源国际项目风险识别及防控</w:t>
            </w:r>
          </w:p>
          <w:p w14:paraId="55DBF95B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培训内容：新能源国际项目风险管理机制、项目特点与风险、项目主要风险防范策略（附案例分析）、对工程建设企业的建议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CDAE6E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半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  <w:p w14:paraId="72FA072D" w14:textId="0FC93A49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F917A8">
              <w:rPr>
                <w:rFonts w:ascii="仿宋" w:eastAsia="仿宋" w:hAnsi="仿宋" w:hint="eastAsia"/>
                <w:color w:val="000000"/>
                <w:kern w:val="0"/>
                <w:sz w:val="15"/>
                <w:szCs w:val="15"/>
              </w:rPr>
              <w:t>（线上）</w:t>
            </w:r>
          </w:p>
        </w:tc>
        <w:tc>
          <w:tcPr>
            <w:tcW w:w="85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F2317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一</w:t>
            </w:r>
          </w:p>
          <w:p w14:paraId="7261C18E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季</w:t>
            </w:r>
          </w:p>
          <w:p w14:paraId="2B4B5E7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74F5F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1F396373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1E1C67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3482E6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名称：电力隧道工程设计（高级）</w:t>
            </w:r>
          </w:p>
          <w:p w14:paraId="608E5F2F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培训内容：电力隧道常用工法在实施过程中重点、难点介绍，电缆隧道施工过程中常见问题及处理方法；电缆敷设相关问题的介绍、常见问题及处理方法等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E67FAA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BC84A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3B04F1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16958A78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A8FAB5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A6D9FB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名称：电力工程行业项目管理</w:t>
            </w:r>
          </w:p>
          <w:p w14:paraId="24053F23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培训内容：电力工程总承包项目管理的要素和管理过程等相关内容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53EA1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85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488664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二</w:t>
            </w:r>
          </w:p>
          <w:p w14:paraId="675884EA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季</w:t>
            </w:r>
          </w:p>
          <w:p w14:paraId="49EFF600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BD348C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66BA63AC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EDEC7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9681E1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名称：新能源陆上风电技术培训</w:t>
            </w:r>
          </w:p>
          <w:p w14:paraId="6C0161FD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培训内容：资源、土建、电气、项目建设管理及风险点、实用案例分析等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19222C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09DD1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F33EBB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2FF1768B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8EB23A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580E65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名称：新能源光伏技术培训</w:t>
            </w:r>
          </w:p>
          <w:p w14:paraId="452D22CA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培训内容：资源、土建、电气、项目建设管理及风险点、实用案例分析等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9C8103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0E43ED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50D46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003B57DC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5D8763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1FD973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名称：城市变电站设计人员</w:t>
            </w:r>
          </w:p>
          <w:p w14:paraId="28E5ED9D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培训内容：城市变电站工程设计与建设实践，站址选择、布置、电气、结构、暖通、给排水等方面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D97BE6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72F48F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三</w:t>
            </w:r>
          </w:p>
          <w:p w14:paraId="0E1CC8CD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季</w:t>
            </w:r>
          </w:p>
          <w:p w14:paraId="01501274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E0A58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7BC73FC1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A63EE7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C815AA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名称：送变电设总(高级) </w:t>
            </w:r>
          </w:p>
          <w:p w14:paraId="41F3D248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培训内容：送变电设总在工程各设计阶段、工程达标投产、贯标中的职责。新技术、输变电工程案例分析。技经等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D6DE7C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221C14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92D05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9C0DB9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751B7D37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E5CF3E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4C4860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名称：送变电工程三维数字化设计培训</w:t>
            </w:r>
          </w:p>
          <w:p w14:paraId="15817653" w14:textId="77777777" w:rsidR="00444252" w:rsidRDefault="00444252" w:rsidP="003D2064">
            <w:pPr>
              <w:adjustRightInd w:val="0"/>
              <w:snapToGrid w:val="0"/>
              <w:spacing w:line="4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培训内容：送变电工程三维设计专业知识、数字化移交、数字化设计应用操作技能培训，工程实例、软件实操等内容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A513EA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F9AF9B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D29E9B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66CBE146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9FB02D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7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36784E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名称：电力工程行业项目管理（高级）</w:t>
            </w:r>
          </w:p>
          <w:p w14:paraId="13B20688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培训内容：电力项目优秀案例分享，项目管理实操知识讲解，项目管理专项知识讲授，行业知名专家点评</w:t>
            </w:r>
          </w:p>
        </w:tc>
        <w:tc>
          <w:tcPr>
            <w:tcW w:w="9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B139BE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85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00F98D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92D050"/>
                <w:kern w:val="0"/>
                <w:sz w:val="24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7273A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10160191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8E3430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74F5A6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名称：地下变电站设计人员</w:t>
            </w:r>
          </w:p>
          <w:p w14:paraId="0A009D7A" w14:textId="77777777" w:rsidR="00444252" w:rsidRDefault="00444252" w:rsidP="003D2064">
            <w:pPr>
              <w:spacing w:line="32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培训内容：地下变电站规划设计原则和要点，涵盖站址选择和布置、电气设计、建筑结构、暖通空调、给排水、消防设施等方面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A5FF53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41013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四</w:t>
            </w:r>
          </w:p>
          <w:p w14:paraId="7BD8BB06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季</w:t>
            </w:r>
          </w:p>
          <w:p w14:paraId="448BD4C8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6EE362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2D4C3786" w14:textId="77777777" w:rsidTr="00444252">
        <w:trPr>
          <w:trHeight w:val="711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46DEC9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7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DD86F5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名称：电力储能技术人员</w:t>
            </w:r>
          </w:p>
          <w:p w14:paraId="318F38DA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培训内容：储能产业政策和储能应用；大型电化学储能电站规划和设计；压缩空气储能技术及应用；液态电池储能技术及应用；储热技术及应用等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84C07C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850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D94537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41259A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13DE0731" w14:textId="77777777" w:rsidTr="00444252">
        <w:trPr>
          <w:trHeight w:val="582"/>
          <w:jc w:val="center"/>
        </w:trPr>
        <w:tc>
          <w:tcPr>
            <w:tcW w:w="5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FADA75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1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9B9EFC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bookmarkStart w:id="0" w:name="OLE_LINK4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名称：电力</w:t>
            </w:r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工程安全管理</w:t>
            </w:r>
          </w:p>
          <w:p w14:paraId="2E2EF347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培训内容：</w:t>
            </w:r>
            <w:r w:rsidRPr="00826F32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结合国家相关文件要求，介绍电力工程安全管理相关知识、管理方法及风险防范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37BA71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半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  <w:r>
              <w:rPr>
                <w:rFonts w:ascii="仿宋" w:eastAsia="仿宋" w:hAnsi="仿宋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F85E1D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3F48F1" w14:textId="77777777" w:rsidR="00444252" w:rsidRDefault="00444252" w:rsidP="003D206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41FE09CD" w14:textId="77777777" w:rsidTr="00444252">
        <w:trPr>
          <w:trHeight w:val="582"/>
          <w:jc w:val="center"/>
        </w:trPr>
        <w:tc>
          <w:tcPr>
            <w:tcW w:w="9037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C69AC6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对培训计划的意见或建议：</w:t>
            </w:r>
          </w:p>
          <w:p w14:paraId="292C6BB5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282CC710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58DD6F27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444252" w14:paraId="0420C9DF" w14:textId="77777777" w:rsidTr="00444252">
        <w:trPr>
          <w:trHeight w:val="582"/>
          <w:jc w:val="center"/>
        </w:trPr>
        <w:tc>
          <w:tcPr>
            <w:tcW w:w="9037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CAE71F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其他培训需求：</w:t>
            </w:r>
          </w:p>
          <w:p w14:paraId="08116E73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1FC6F19E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14:paraId="2E300AF3" w14:textId="77777777" w:rsidR="00444252" w:rsidRDefault="00444252" w:rsidP="003D2064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</w:tbl>
    <w:p w14:paraId="78ED2F53" w14:textId="77777777" w:rsidR="00444252" w:rsidRDefault="00444252" w:rsidP="00444252">
      <w:pPr>
        <w:spacing w:line="540" w:lineRule="exact"/>
        <w:ind w:firstLineChars="100" w:firstLine="276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：有意愿可以填参加人数，无意愿可以不填或填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。</w:t>
      </w:r>
    </w:p>
    <w:p w14:paraId="6F18E5E9" w14:textId="77777777" w:rsidR="00444252" w:rsidRDefault="00444252">
      <w:pPr>
        <w:spacing w:line="590" w:lineRule="exact"/>
        <w:ind w:right="23"/>
        <w:rPr>
          <w:rFonts w:ascii="方正大标宋简体" w:eastAsia="方正大标宋简体" w:hAnsi="仿宋" w:hint="eastAsia"/>
          <w:color w:val="FF0000"/>
          <w:szCs w:val="32"/>
        </w:rPr>
      </w:pPr>
    </w:p>
    <w:p w14:paraId="5B6A849D" w14:textId="77777777" w:rsidR="00444252" w:rsidRDefault="00444252">
      <w:pPr>
        <w:spacing w:line="590" w:lineRule="exact"/>
        <w:ind w:right="23"/>
        <w:rPr>
          <w:rFonts w:ascii="方正大标宋简体" w:eastAsia="方正大标宋简体" w:hAnsi="仿宋" w:hint="eastAsia"/>
          <w:color w:val="FF0000"/>
          <w:szCs w:val="32"/>
        </w:rPr>
      </w:pPr>
    </w:p>
    <w:p w14:paraId="63964931" w14:textId="42E08ACA" w:rsidR="001D3D78" w:rsidRPr="00444252" w:rsidRDefault="001D3D78" w:rsidP="001D3D78">
      <w:pPr>
        <w:spacing w:beforeLines="50" w:before="288" w:afterLines="50" w:after="288" w:line="500" w:lineRule="exact"/>
        <w:jc w:val="left"/>
        <w:rPr>
          <w:rFonts w:ascii="黑体" w:eastAsia="黑体" w:hAnsi="黑体" w:cs="仿宋" w:hint="eastAsia"/>
          <w:sz w:val="28"/>
          <w:szCs w:val="28"/>
        </w:rPr>
      </w:pPr>
      <w:r w:rsidRPr="00444252">
        <w:rPr>
          <w:rFonts w:ascii="黑体" w:eastAsia="黑体" w:hAnsi="黑体" w:cs="仿宋" w:hint="eastAsia"/>
          <w:sz w:val="28"/>
          <w:szCs w:val="28"/>
        </w:rPr>
        <w:lastRenderedPageBreak/>
        <w:t>附表</w:t>
      </w: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783"/>
        <w:gridCol w:w="227"/>
        <w:gridCol w:w="1899"/>
        <w:gridCol w:w="2268"/>
        <w:gridCol w:w="624"/>
        <w:gridCol w:w="1010"/>
        <w:gridCol w:w="1010"/>
        <w:gridCol w:w="1010"/>
        <w:gridCol w:w="1010"/>
      </w:tblGrid>
      <w:tr w:rsidR="001D3D78" w:rsidRPr="001D3D78" w14:paraId="47068F08" w14:textId="77777777" w:rsidTr="009C79CC">
        <w:trPr>
          <w:trHeight w:val="600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1BE3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2"/>
              </w:rPr>
              <w:t>现有专委会优化建议表</w:t>
            </w:r>
          </w:p>
        </w:tc>
      </w:tr>
      <w:tr w:rsidR="001D3D78" w:rsidRPr="001D3D78" w14:paraId="5418194A" w14:textId="77777777" w:rsidTr="009C79CC">
        <w:trPr>
          <w:trHeight w:val="270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0F4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单位：              （公章）  </w:t>
            </w:r>
          </w:p>
        </w:tc>
      </w:tr>
      <w:tr w:rsidR="001D3D78" w:rsidRPr="001D3D78" w14:paraId="6D40519C" w14:textId="77777777" w:rsidTr="009C79CC">
        <w:trPr>
          <w:trHeight w:val="270"/>
          <w:jc w:val="center"/>
        </w:trPr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C35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C4D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21803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建议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169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D3D78" w:rsidRPr="001D3D78" w14:paraId="5638499B" w14:textId="77777777" w:rsidTr="009C79CC">
        <w:trPr>
          <w:trHeight w:val="270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C016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F3E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5B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保留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58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裁撤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6E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合并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CDF6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D3D78" w:rsidRPr="001D3D78" w14:paraId="36D7F9FF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A73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802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机务专委会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D27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F77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CA1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79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7362CF55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51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75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电控专委会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59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A95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1F7E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27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02A59C66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868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D03E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土水专委会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8C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DD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A72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56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5D0F401A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6B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E2F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规划专委会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714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9B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94E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C36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7A749557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EB0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63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环保专委会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31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E7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3D3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A3A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43C8565B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20E1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A1F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送变电专委会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DB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E59D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A9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C97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43C99775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B14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EBC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79A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7E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32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00F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5B2622C7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C56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80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统计专委会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9CA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04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2C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BB7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433DC595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814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4A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项目管理专委会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8B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F8A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DE0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60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335068D3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C3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68E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档案专委会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7A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1EF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E8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351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3E6D5DBA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178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1C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党建与企业文化专委会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663" w14:textId="77777777" w:rsidR="001D3D78" w:rsidRPr="00D86CFC" w:rsidRDefault="001D3D78" w:rsidP="001D3D78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D86CFC">
              <w:rPr>
                <w:rFonts w:ascii="Arial" w:eastAsia="宋体" w:hAnsi="Arial" w:cs="Arial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0B3" w14:textId="179C5EC8" w:rsidR="001D3D78" w:rsidRPr="00D86CFC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86C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="00D86CFC" w:rsidRPr="00D86C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75D" w14:textId="4D0BD41E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86CFC" w:rsidRPr="00D86C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5D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20DAA9D1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CC1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5F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动力管道技术专委会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B3A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BA2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1E57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D4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0B625CEB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E67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08F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电力工程经济专委会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3A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4D9E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A73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295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303181AD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E3B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036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水电工程枢纽专委会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0D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E85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56D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9A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64263C1B" w14:textId="77777777" w:rsidTr="00D86CFC">
        <w:trPr>
          <w:trHeight w:val="454"/>
          <w:jc w:val="center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60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025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征地移民专委会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B9F5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923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462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DB6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60788A20" w14:textId="77777777" w:rsidTr="006C1EED">
        <w:trPr>
          <w:trHeight w:val="405"/>
          <w:jc w:val="center"/>
        </w:trPr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2B0" w14:textId="77777777" w:rsidR="00D86CFC" w:rsidRDefault="00D86CFC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2"/>
              </w:rPr>
            </w:pPr>
          </w:p>
          <w:p w14:paraId="523899FE" w14:textId="7B01A898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2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32"/>
              </w:rPr>
              <w:t>增设专委会建议表</w:t>
            </w:r>
          </w:p>
        </w:tc>
      </w:tr>
      <w:tr w:rsidR="001D3D78" w:rsidRPr="001D3D78" w14:paraId="7FB15A18" w14:textId="77777777" w:rsidTr="006C1EED">
        <w:trPr>
          <w:trHeight w:val="28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A33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19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F6CF9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46B9D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1D3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推荐主任、副主任委员单位</w:t>
            </w:r>
          </w:p>
        </w:tc>
      </w:tr>
      <w:tr w:rsidR="001D3D78" w:rsidRPr="001D3D78" w14:paraId="056C10B6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58C8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97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21F1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307B9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699210D7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B0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FC1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76DBD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EAD0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28536193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BC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5F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522A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0CB49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17FCE7DC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4C5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AE2B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6EBB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CBDD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35675750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A036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27C9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20A4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1E627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25CCA580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654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C2F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4E7B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A27F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1C072B85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E4A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EF8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3AA7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F91B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164E6489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55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19FC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A14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EF1F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02195A10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14D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664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C37F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C0B2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3D78" w:rsidRPr="001D3D78" w14:paraId="19EA2973" w14:textId="77777777" w:rsidTr="006C1EED">
        <w:trPr>
          <w:trHeight w:val="454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2C9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AA0" w14:textId="77777777" w:rsidR="001D3D78" w:rsidRPr="001D3D78" w:rsidRDefault="001D3D78" w:rsidP="001D3D78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400C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2D09E" w14:textId="77777777" w:rsidR="001D3D78" w:rsidRPr="001D3D78" w:rsidRDefault="001D3D78" w:rsidP="001D3D7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D3D7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FA82914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142A6E67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5EBA26AE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67E44FE7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19288055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6227BA83" w14:textId="77777777" w:rsidR="00466E45" w:rsidRDefault="00466E45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5A7F2EAC" w14:textId="77777777" w:rsidR="00D86CFC" w:rsidRDefault="00D86CFC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7C615567" w14:textId="77777777" w:rsidR="00D86CFC" w:rsidRDefault="00D86CFC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1AB585CE" w14:textId="77777777" w:rsidR="00D86CFC" w:rsidRDefault="00D86CFC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2C5CF70D" w14:textId="77777777" w:rsidR="00D86CFC" w:rsidRDefault="00D86CFC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5D97455C" w14:textId="77777777" w:rsidR="00D86CFC" w:rsidRDefault="00D86CFC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p w14:paraId="09558591" w14:textId="77777777" w:rsidR="006C1EED" w:rsidRDefault="006C1EED" w:rsidP="00444252">
      <w:pPr>
        <w:ind w:left="565" w:hangingChars="205" w:hanging="565"/>
        <w:rPr>
          <w:rFonts w:ascii="黑体" w:eastAsia="黑体" w:hAnsi="黑体" w:cs="仿宋" w:hint="eastAsia"/>
          <w:sz w:val="28"/>
          <w:szCs w:val="28"/>
        </w:rPr>
      </w:pPr>
    </w:p>
    <w:tbl>
      <w:tblPr>
        <w:tblW w:w="908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1842"/>
        <w:gridCol w:w="4111"/>
        <w:gridCol w:w="2126"/>
      </w:tblGrid>
      <w:tr w:rsidR="00444252" w14:paraId="6AE2FBAC" w14:textId="77777777" w:rsidTr="00444252">
        <w:trPr>
          <w:trHeight w:val="1040"/>
        </w:trPr>
        <w:tc>
          <w:tcPr>
            <w:tcW w:w="9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A3F81" w14:textId="0766C1F2" w:rsidR="00444252" w:rsidRPr="00444252" w:rsidRDefault="00444252" w:rsidP="00444252">
            <w:pPr>
              <w:widowControl/>
              <w:jc w:val="center"/>
              <w:textAlignment w:val="center"/>
              <w:rPr>
                <w:rFonts w:ascii="方正大标宋简体" w:eastAsia="方正大标宋简体" w:hAnsi="仿宋" w:cs="仿宋" w:hint="eastAsia"/>
                <w:color w:val="000000"/>
                <w:sz w:val="40"/>
                <w:szCs w:val="40"/>
              </w:rPr>
            </w:pPr>
            <w:r w:rsidRPr="00137D3F">
              <w:rPr>
                <w:rFonts w:ascii="方正大标宋简体" w:eastAsia="方正大标宋简体" w:hAnsi="仿宋" w:cs="仿宋" w:hint="eastAsia"/>
                <w:sz w:val="36"/>
                <w:szCs w:val="36"/>
              </w:rPr>
              <w:lastRenderedPageBreak/>
              <w:t>联络员名单</w:t>
            </w:r>
          </w:p>
        </w:tc>
      </w:tr>
      <w:tr w:rsidR="00444252" w14:paraId="7A9DBB58" w14:textId="77777777" w:rsidTr="00444252">
        <w:trPr>
          <w:trHeight w:val="700"/>
        </w:trPr>
        <w:tc>
          <w:tcPr>
            <w:tcW w:w="9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DE16" w14:textId="77777777" w:rsidR="00444252" w:rsidRDefault="00444252" w:rsidP="003D206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单位：                （公章）</w:t>
            </w:r>
          </w:p>
        </w:tc>
      </w:tr>
      <w:tr w:rsidR="00444252" w14:paraId="319F3630" w14:textId="77777777" w:rsidTr="006C1EED">
        <w:trPr>
          <w:trHeight w:val="70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1881" w14:textId="77777777" w:rsidR="00444252" w:rsidRP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4442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D852" w14:textId="77777777" w:rsidR="00444252" w:rsidRP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4442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071E5" w14:textId="77777777" w:rsidR="00444252" w:rsidRP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4442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所在部门及职务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2932" w14:textId="77777777" w:rsidR="00444252" w:rsidRP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 w:rsidRPr="004442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</w:tr>
      <w:tr w:rsidR="00444252" w14:paraId="39E86272" w14:textId="77777777" w:rsidTr="006C1EED">
        <w:trPr>
          <w:trHeight w:val="63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8CCE" w14:textId="77777777" w:rsid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8B9C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B22B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F4F0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444252" w14:paraId="5E329FB0" w14:textId="77777777" w:rsidTr="006C1EED">
        <w:trPr>
          <w:trHeight w:val="5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7F4A" w14:textId="77777777" w:rsidR="00444252" w:rsidRDefault="00444252" w:rsidP="00444252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057D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4A74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06E7" w14:textId="77777777" w:rsidR="00444252" w:rsidRDefault="00444252" w:rsidP="003D2064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</w:tbl>
    <w:p w14:paraId="5724FF9F" w14:textId="77777777" w:rsidR="00444252" w:rsidRPr="00687595" w:rsidRDefault="00444252" w:rsidP="00444252">
      <w:pPr>
        <w:jc w:val="left"/>
        <w:rPr>
          <w:rFonts w:ascii="仿宋" w:eastAsia="仿宋" w:hAnsi="仿宋" w:cs="仿宋" w:hint="eastAsia"/>
          <w:sz w:val="24"/>
        </w:rPr>
      </w:pPr>
      <w:r w:rsidRPr="00687595">
        <w:rPr>
          <w:rFonts w:ascii="仿宋" w:eastAsia="仿宋" w:hAnsi="仿宋" w:cs="仿宋" w:hint="eastAsia"/>
          <w:sz w:val="24"/>
        </w:rPr>
        <w:t>请于3月5日前反馈。协会联系人：苑芃  010-58388788  18618330337</w:t>
      </w:r>
    </w:p>
    <w:sectPr w:rsidR="00444252" w:rsidRPr="00687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208" w:gutter="0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DE73" w14:textId="77777777" w:rsidR="00C777AE" w:rsidRDefault="00C777AE">
      <w:pPr>
        <w:spacing w:after="0" w:line="240" w:lineRule="auto"/>
      </w:pPr>
      <w:r>
        <w:separator/>
      </w:r>
    </w:p>
  </w:endnote>
  <w:endnote w:type="continuationSeparator" w:id="0">
    <w:p w14:paraId="404F3720" w14:textId="77777777" w:rsidR="00C777AE" w:rsidRDefault="00C7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4C23" w14:textId="77777777" w:rsidR="007D7072" w:rsidRDefault="004E3523">
    <w:pPr>
      <w:pStyle w:val="a7"/>
      <w:framePr w:w="1667" w:h="464" w:hRule="exact" w:wrap="around" w:vAnchor="text" w:hAnchor="page" w:x="1475" w:y="-54"/>
      <w:spacing w:line="320" w:lineRule="exact"/>
      <w:jc w:val="center"/>
      <w:rPr>
        <w:rStyle w:val="ab"/>
        <w:rFonts w:ascii="宋体" w:hAnsi="宋体" w:hint="eastAsia"/>
        <w:position w:val="6"/>
        <w:sz w:val="28"/>
        <w:szCs w:val="28"/>
      </w:rPr>
    </w:pPr>
    <w:r>
      <w:rPr>
        <w:rStyle w:val="ab"/>
        <w:rFonts w:ascii="宋体" w:hAnsi="宋体" w:hint="eastAsia"/>
        <w:position w:val="6"/>
        <w:sz w:val="28"/>
        <w:szCs w:val="28"/>
      </w:rPr>
      <w:t>—</w:t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b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b"/>
        <w:rFonts w:ascii="宋体" w:hAnsi="宋体"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b"/>
        <w:rFonts w:ascii="宋体" w:hAnsi="宋体" w:hint="eastAsia"/>
        <w:position w:val="6"/>
        <w:sz w:val="28"/>
        <w:szCs w:val="28"/>
      </w:rPr>
      <w:t>—</w:t>
    </w:r>
  </w:p>
  <w:p w14:paraId="190C905E" w14:textId="77777777" w:rsidR="007D7072" w:rsidRDefault="007D7072">
    <w:pPr>
      <w:pStyle w:val="a7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E686" w14:textId="77777777" w:rsidR="005E240E" w:rsidRDefault="005E240E" w:rsidP="005E240E">
    <w:pPr>
      <w:pStyle w:val="a7"/>
      <w:framePr w:w="1667" w:h="464" w:hRule="exact" w:wrap="around" w:vAnchor="text" w:hAnchor="page" w:x="8581" w:y="136"/>
      <w:spacing w:line="320" w:lineRule="exact"/>
      <w:jc w:val="center"/>
      <w:rPr>
        <w:rStyle w:val="ab"/>
        <w:rFonts w:ascii="宋体" w:hAnsi="宋体" w:hint="eastAsia"/>
        <w:position w:val="6"/>
        <w:sz w:val="28"/>
        <w:szCs w:val="28"/>
      </w:rPr>
    </w:pPr>
    <w:r>
      <w:rPr>
        <w:rStyle w:val="ab"/>
        <w:rFonts w:ascii="宋体" w:hAnsi="宋体" w:hint="eastAsia"/>
        <w:position w:val="6"/>
        <w:sz w:val="28"/>
        <w:szCs w:val="28"/>
      </w:rPr>
      <w:t>—</w:t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b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Fonts w:ascii="宋体" w:hAnsi="宋体" w:hint="eastAsia"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b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b"/>
        <w:rFonts w:ascii="宋体" w:hAnsi="宋体" w:hint="eastAsia"/>
        <w:position w:val="6"/>
        <w:sz w:val="28"/>
        <w:szCs w:val="28"/>
      </w:rPr>
      <w:t>—</w:t>
    </w:r>
  </w:p>
  <w:p w14:paraId="692B98F2" w14:textId="343F7368" w:rsidR="005E240E" w:rsidRDefault="005E240E" w:rsidP="005E240E">
    <w:pPr>
      <w:pStyle w:val="a7"/>
      <w:spacing w:after="0" w:line="320" w:lineRule="exact"/>
      <w:jc w:val="right"/>
      <w:rPr>
        <w:rStyle w:val="ab"/>
        <w:rFonts w:ascii="宋体" w:hAnsi="宋体" w:hint="eastAsia"/>
        <w:position w:val="6"/>
        <w:sz w:val="28"/>
        <w:szCs w:val="28"/>
      </w:rPr>
    </w:pPr>
    <w:r>
      <w:rPr>
        <w:rStyle w:val="ab"/>
        <w:rFonts w:ascii="宋体" w:hAnsi="宋体" w:hint="eastAsia"/>
        <w:position w:val="6"/>
        <w:sz w:val="28"/>
        <w:szCs w:val="28"/>
      </w:rPr>
      <w:t xml:space="preserve">           </w:t>
    </w:r>
  </w:p>
  <w:p w14:paraId="4F335D2D" w14:textId="5B5C6C8E" w:rsidR="007D7072" w:rsidRPr="005E240E" w:rsidRDefault="005E240E" w:rsidP="005E240E">
    <w:pPr>
      <w:pStyle w:val="a7"/>
    </w:pPr>
    <w:r>
      <w:rPr>
        <w:rFonts w:hint="eastAsia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DA2E" w14:textId="77777777" w:rsidR="005E240E" w:rsidRDefault="005E2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6790" w14:textId="77777777" w:rsidR="00C777AE" w:rsidRDefault="00C777AE">
      <w:pPr>
        <w:spacing w:after="0" w:line="240" w:lineRule="auto"/>
      </w:pPr>
      <w:r>
        <w:separator/>
      </w:r>
    </w:p>
  </w:footnote>
  <w:footnote w:type="continuationSeparator" w:id="0">
    <w:p w14:paraId="43360ABD" w14:textId="77777777" w:rsidR="00C777AE" w:rsidRDefault="00C7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F2B" w14:textId="77777777" w:rsidR="005E240E" w:rsidRDefault="005E24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76CC" w14:textId="77777777" w:rsidR="005E240E" w:rsidRDefault="005E240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B380" w14:textId="77777777" w:rsidR="005E240E" w:rsidRDefault="005E24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KGWebUrl" w:val="http://10.83.0.29/weaver/weaver.file.FileDownloadForNews?uuid=fd539efc-687e-4624-be25-f3891a7b611b&amp;fileid=10090&amp;type=document&amp;isofficeview=0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0FCD"/>
    <w:rsid w:val="000039F7"/>
    <w:rsid w:val="00005055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75469"/>
    <w:rsid w:val="000839FF"/>
    <w:rsid w:val="000965E9"/>
    <w:rsid w:val="000A38C7"/>
    <w:rsid w:val="000A40D9"/>
    <w:rsid w:val="000A5C21"/>
    <w:rsid w:val="000B1E92"/>
    <w:rsid w:val="000B708B"/>
    <w:rsid w:val="000D36B1"/>
    <w:rsid w:val="000E7DE2"/>
    <w:rsid w:val="000F5AA3"/>
    <w:rsid w:val="00103211"/>
    <w:rsid w:val="00105AD6"/>
    <w:rsid w:val="0011039B"/>
    <w:rsid w:val="00111427"/>
    <w:rsid w:val="00111B79"/>
    <w:rsid w:val="00121977"/>
    <w:rsid w:val="00121A85"/>
    <w:rsid w:val="00125ED3"/>
    <w:rsid w:val="00137D3F"/>
    <w:rsid w:val="001434DE"/>
    <w:rsid w:val="00145FAA"/>
    <w:rsid w:val="00153BD6"/>
    <w:rsid w:val="00160510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B78AD"/>
    <w:rsid w:val="001D2F8D"/>
    <w:rsid w:val="001D3D78"/>
    <w:rsid w:val="001E768E"/>
    <w:rsid w:val="001F1829"/>
    <w:rsid w:val="001F4F08"/>
    <w:rsid w:val="001F5349"/>
    <w:rsid w:val="00200EB2"/>
    <w:rsid w:val="002022AE"/>
    <w:rsid w:val="0020432D"/>
    <w:rsid w:val="002046A9"/>
    <w:rsid w:val="00222FD2"/>
    <w:rsid w:val="00232B52"/>
    <w:rsid w:val="00237B82"/>
    <w:rsid w:val="00242877"/>
    <w:rsid w:val="00244975"/>
    <w:rsid w:val="00246393"/>
    <w:rsid w:val="00247EAD"/>
    <w:rsid w:val="00260263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12AE"/>
    <w:rsid w:val="00357A50"/>
    <w:rsid w:val="00364B79"/>
    <w:rsid w:val="003660DB"/>
    <w:rsid w:val="0037118E"/>
    <w:rsid w:val="003756DB"/>
    <w:rsid w:val="003765D0"/>
    <w:rsid w:val="003A6B18"/>
    <w:rsid w:val="003C1545"/>
    <w:rsid w:val="003C2B3C"/>
    <w:rsid w:val="003D68DA"/>
    <w:rsid w:val="00401691"/>
    <w:rsid w:val="004024FF"/>
    <w:rsid w:val="004141F2"/>
    <w:rsid w:val="00414E44"/>
    <w:rsid w:val="00416827"/>
    <w:rsid w:val="00426AE7"/>
    <w:rsid w:val="00444252"/>
    <w:rsid w:val="00444F48"/>
    <w:rsid w:val="00446587"/>
    <w:rsid w:val="00450056"/>
    <w:rsid w:val="00450E99"/>
    <w:rsid w:val="00466E45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1088"/>
    <w:rsid w:val="004C2173"/>
    <w:rsid w:val="004C6CE9"/>
    <w:rsid w:val="004D2FEB"/>
    <w:rsid w:val="004E3523"/>
    <w:rsid w:val="004F3DE6"/>
    <w:rsid w:val="004F51FF"/>
    <w:rsid w:val="004F64CB"/>
    <w:rsid w:val="00503818"/>
    <w:rsid w:val="00514B25"/>
    <w:rsid w:val="005405AA"/>
    <w:rsid w:val="005427ED"/>
    <w:rsid w:val="00550DF6"/>
    <w:rsid w:val="005524A2"/>
    <w:rsid w:val="00554282"/>
    <w:rsid w:val="005558CB"/>
    <w:rsid w:val="0055611B"/>
    <w:rsid w:val="005572AB"/>
    <w:rsid w:val="00571C67"/>
    <w:rsid w:val="0057433D"/>
    <w:rsid w:val="00576E39"/>
    <w:rsid w:val="00592C7D"/>
    <w:rsid w:val="00594707"/>
    <w:rsid w:val="005A40EF"/>
    <w:rsid w:val="005B1C8C"/>
    <w:rsid w:val="005B21D2"/>
    <w:rsid w:val="005B401D"/>
    <w:rsid w:val="005B7761"/>
    <w:rsid w:val="005D0C0F"/>
    <w:rsid w:val="005D1006"/>
    <w:rsid w:val="005D1F40"/>
    <w:rsid w:val="005D5185"/>
    <w:rsid w:val="005E240E"/>
    <w:rsid w:val="005F3BAA"/>
    <w:rsid w:val="005F71CA"/>
    <w:rsid w:val="0060470C"/>
    <w:rsid w:val="00610199"/>
    <w:rsid w:val="006115CF"/>
    <w:rsid w:val="006118B0"/>
    <w:rsid w:val="00621464"/>
    <w:rsid w:val="0063180D"/>
    <w:rsid w:val="00634539"/>
    <w:rsid w:val="006345E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86460"/>
    <w:rsid w:val="00692508"/>
    <w:rsid w:val="00693E59"/>
    <w:rsid w:val="006A1957"/>
    <w:rsid w:val="006B0F93"/>
    <w:rsid w:val="006B4450"/>
    <w:rsid w:val="006B564E"/>
    <w:rsid w:val="006C1EED"/>
    <w:rsid w:val="006C2C98"/>
    <w:rsid w:val="006D7446"/>
    <w:rsid w:val="006D7AB4"/>
    <w:rsid w:val="006E059B"/>
    <w:rsid w:val="006E4FDD"/>
    <w:rsid w:val="006E6761"/>
    <w:rsid w:val="00702F18"/>
    <w:rsid w:val="00704858"/>
    <w:rsid w:val="00716D80"/>
    <w:rsid w:val="0073070D"/>
    <w:rsid w:val="00730F19"/>
    <w:rsid w:val="00731781"/>
    <w:rsid w:val="00732E29"/>
    <w:rsid w:val="00734D0A"/>
    <w:rsid w:val="0073523F"/>
    <w:rsid w:val="00744182"/>
    <w:rsid w:val="00746929"/>
    <w:rsid w:val="0075119C"/>
    <w:rsid w:val="00761F69"/>
    <w:rsid w:val="0077136B"/>
    <w:rsid w:val="00782EF4"/>
    <w:rsid w:val="007934A7"/>
    <w:rsid w:val="007A009F"/>
    <w:rsid w:val="007A27EE"/>
    <w:rsid w:val="007A36FB"/>
    <w:rsid w:val="007A3B7D"/>
    <w:rsid w:val="007A44F6"/>
    <w:rsid w:val="007A62D8"/>
    <w:rsid w:val="007B3C20"/>
    <w:rsid w:val="007C1800"/>
    <w:rsid w:val="007C3B27"/>
    <w:rsid w:val="007C3E8F"/>
    <w:rsid w:val="007C5D05"/>
    <w:rsid w:val="007C6B77"/>
    <w:rsid w:val="007D7072"/>
    <w:rsid w:val="007E2371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565"/>
    <w:rsid w:val="008739F1"/>
    <w:rsid w:val="00883E29"/>
    <w:rsid w:val="00891924"/>
    <w:rsid w:val="00891A35"/>
    <w:rsid w:val="00897AF5"/>
    <w:rsid w:val="008B61E6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6515"/>
    <w:rsid w:val="00951420"/>
    <w:rsid w:val="009574C7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C79CC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561C"/>
    <w:rsid w:val="00A2080D"/>
    <w:rsid w:val="00A235E5"/>
    <w:rsid w:val="00A24EB3"/>
    <w:rsid w:val="00A31F3C"/>
    <w:rsid w:val="00A36D20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C54DB"/>
    <w:rsid w:val="00AE24AE"/>
    <w:rsid w:val="00AE3B0C"/>
    <w:rsid w:val="00AF76E2"/>
    <w:rsid w:val="00B041C6"/>
    <w:rsid w:val="00B11BBE"/>
    <w:rsid w:val="00B179F3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15EC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4F4C"/>
    <w:rsid w:val="00C4641E"/>
    <w:rsid w:val="00C55BEE"/>
    <w:rsid w:val="00C710D3"/>
    <w:rsid w:val="00C72F1B"/>
    <w:rsid w:val="00C777AE"/>
    <w:rsid w:val="00C86609"/>
    <w:rsid w:val="00C90EDD"/>
    <w:rsid w:val="00C94DCB"/>
    <w:rsid w:val="00CA2170"/>
    <w:rsid w:val="00CB7E92"/>
    <w:rsid w:val="00CC6643"/>
    <w:rsid w:val="00CD699C"/>
    <w:rsid w:val="00CE42CC"/>
    <w:rsid w:val="00CF5D72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86CFC"/>
    <w:rsid w:val="00DA327D"/>
    <w:rsid w:val="00DD47EB"/>
    <w:rsid w:val="00DF09C8"/>
    <w:rsid w:val="00DF53B5"/>
    <w:rsid w:val="00E00690"/>
    <w:rsid w:val="00E07044"/>
    <w:rsid w:val="00E07B70"/>
    <w:rsid w:val="00E07D40"/>
    <w:rsid w:val="00E21EB7"/>
    <w:rsid w:val="00E401AB"/>
    <w:rsid w:val="00E401D6"/>
    <w:rsid w:val="00E41DF7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8766B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452C"/>
    <w:rsid w:val="00F42C56"/>
    <w:rsid w:val="00F42FC1"/>
    <w:rsid w:val="00F4786B"/>
    <w:rsid w:val="00F52D6C"/>
    <w:rsid w:val="00F6736E"/>
    <w:rsid w:val="00F7026D"/>
    <w:rsid w:val="00F751CB"/>
    <w:rsid w:val="00F83F8E"/>
    <w:rsid w:val="00F91530"/>
    <w:rsid w:val="00FB1584"/>
    <w:rsid w:val="00FC3144"/>
    <w:rsid w:val="00FD77FF"/>
    <w:rsid w:val="00FF39E8"/>
    <w:rsid w:val="00FF48DF"/>
    <w:rsid w:val="0E6D26CF"/>
    <w:rsid w:val="114F3B19"/>
    <w:rsid w:val="1EF97873"/>
    <w:rsid w:val="27DE6ED6"/>
    <w:rsid w:val="281816C7"/>
    <w:rsid w:val="28565093"/>
    <w:rsid w:val="2B435D8E"/>
    <w:rsid w:val="314429C6"/>
    <w:rsid w:val="3A801EC9"/>
    <w:rsid w:val="3AD800F4"/>
    <w:rsid w:val="3BA13EF4"/>
    <w:rsid w:val="47E625B3"/>
    <w:rsid w:val="49713DD1"/>
    <w:rsid w:val="4BE8621C"/>
    <w:rsid w:val="54C86758"/>
    <w:rsid w:val="5AFC60B6"/>
    <w:rsid w:val="5C3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638AFA"/>
  <w15:docId w15:val="{156BC452-D113-4F46-9605-EC8D412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qFormat/>
    <w:rPr>
      <w:rFonts w:ascii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5">
    <w:name w:val="日期 字符"/>
    <w:link w:val="a4"/>
    <w:qFormat/>
    <w:rPr>
      <w:rFonts w:ascii="仿宋_GB2312" w:eastAsia="仿宋_GB2312"/>
      <w:kern w:val="2"/>
      <w:sz w:val="32"/>
      <w:szCs w:val="24"/>
    </w:rPr>
  </w:style>
  <w:style w:type="table" w:customStyle="1" w:styleId="11">
    <w:name w:val="网格型11"/>
    <w:basedOn w:val="a1"/>
    <w:autoRedefine/>
    <w:qFormat/>
    <w:rsid w:val="00444252"/>
    <w:pPr>
      <w:widowControl w:val="0"/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6C1EED"/>
    <w:pPr>
      <w:spacing w:after="0" w:line="240" w:lineRule="auto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241</Words>
  <Characters>1375</Characters>
  <Application>Microsoft Office Word</Application>
  <DocSecurity>0</DocSecurity>
  <Lines>11</Lines>
  <Paragraphs>3</Paragraphs>
  <ScaleCrop>false</ScaleCrop>
  <Company>RJSOFT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4</cp:revision>
  <cp:lastPrinted>2025-02-13T07:39:00Z</cp:lastPrinted>
  <dcterms:created xsi:type="dcterms:W3CDTF">2025-02-14T10:33:00Z</dcterms:created>
  <dcterms:modified xsi:type="dcterms:W3CDTF">2025-02-14T10:38:00Z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